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Приложение 1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УТВЕРЖДЕНО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приказом ГУ ТО «КЦСОН №2»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auto" w:val="clear"/>
          <w:lang w:eastAsia="ru-RU"/>
        </w:rPr>
      </w:pPr>
      <w:r>
        <w:rPr>
          <w:color w:val="000000"/>
          <w:kern w:val="2"/>
          <w:sz w:val="20"/>
          <w:szCs w:val="20"/>
          <w:shd w:fill="auto" w:val="clear"/>
          <w:lang w:eastAsia="ru-RU"/>
        </w:rPr>
        <w:t>от «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>31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 xml:space="preserve">» 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>июля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 xml:space="preserve"> 2024 г. № 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>335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>-</w:t>
      </w:r>
      <w:r>
        <w:rPr>
          <w:color w:val="000000"/>
          <w:kern w:val="2"/>
          <w:sz w:val="20"/>
          <w:szCs w:val="20"/>
          <w:shd w:fill="auto" w:val="clear"/>
          <w:lang w:eastAsia="ru-RU"/>
        </w:rPr>
        <w:t>осн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FFFF00" w:val="clear"/>
          <w:lang w:eastAsia="ru-RU"/>
        </w:rPr>
      </w:pPr>
      <w:r>
        <w:rPr>
          <w:color w:val="000000"/>
          <w:kern w:val="2"/>
          <w:sz w:val="20"/>
          <w:szCs w:val="20"/>
          <w:shd w:fill="FFFF00" w:val="clear"/>
          <w:lang w:eastAsia="ru-RU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40" w:after="0"/>
        <w:ind w:left="0" w:right="0" w:hanging="0"/>
        <w:jc w:val="right"/>
        <w:outlineLvl w:val="0"/>
        <w:rPr>
          <w:color w:val="000000"/>
          <w:kern w:val="2"/>
          <w:sz w:val="20"/>
          <w:szCs w:val="20"/>
          <w:shd w:fill="FFFF00" w:val="clear"/>
          <w:lang w:eastAsia="ru-RU"/>
        </w:rPr>
      </w:pPr>
      <w:r>
        <w:rPr>
          <w:color w:val="000000"/>
          <w:kern w:val="2"/>
          <w:sz w:val="20"/>
          <w:szCs w:val="20"/>
          <w:shd w:fill="FFFF00" w:val="clear"/>
          <w:lang w:eastAsia="ru-RU"/>
        </w:rPr>
      </w:r>
    </w:p>
    <w:p>
      <w:pPr>
        <w:pStyle w:val="1"/>
        <w:ind w:left="0" w:right="349" w:hanging="0"/>
        <w:jc w:val="center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Положение</w:t>
      </w:r>
    </w:p>
    <w:p>
      <w:pPr>
        <w:pStyle w:val="1"/>
        <w:ind w:left="0" w:right="349" w:hanging="0"/>
        <w:jc w:val="center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>о «Пункте проката технических средств реабилитации»</w:t>
      </w:r>
    </w:p>
    <w:p>
      <w:pPr>
        <w:pStyle w:val="1"/>
        <w:ind w:left="0" w:right="348" w:hanging="0"/>
        <w:jc w:val="center"/>
        <w:rPr/>
      </w:pPr>
      <w:r>
        <w:rPr>
          <w:sz w:val="28"/>
          <w:szCs w:val="28"/>
        </w:rPr>
        <w:t>государственного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Тульской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>
      <w:pPr>
        <w:pStyle w:val="Normal"/>
        <w:ind w:left="0" w:right="898" w:hanging="0"/>
        <w:jc w:val="center"/>
        <w:rPr/>
      </w:pPr>
      <w:r>
        <w:rPr>
          <w:b/>
          <w:sz w:val="28"/>
          <w:szCs w:val="28"/>
        </w:rPr>
        <w:t>«Комплексный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населения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2»</w:t>
      </w:r>
    </w:p>
    <w:p>
      <w:pPr>
        <w:pStyle w:val="Style18"/>
        <w:ind w:left="0" w:right="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049" w:leader="none"/>
        </w:tabs>
        <w:spacing w:lineRule="auto" w:line="276"/>
        <w:ind w:left="4048" w:right="0" w:hanging="361"/>
        <w:jc w:val="both"/>
        <w:rPr/>
      </w:pP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Style18"/>
        <w:spacing w:lineRule="auto" w:line="276" w:before="9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spacing w:lineRule="auto" w:line="276"/>
        <w:ind w:left="0" w:right="115" w:hanging="0"/>
        <w:rPr/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регулирует порядок работы пункта проката технических средств реабилитации (далее – Пункт проката) в целях временного обеспечения техническими средствами реабилитации (далее - ТСР) отдельных категорий граждан, проживающих на территории Алексинского, Заокского и Ясногорского районов Тульской области, а также лиц, вынужденно покинувших территории Украины, Луганской и Донецкой Народных Республик, функционирующий на базе государственного учреждения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Тульской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области «Комплексный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№2»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Комплексный центр; Учреждение).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и предоставление услуги возлагается на отделение приема граждан и предоставления срочных социальных услуг Комплексного центра (далее- Отделение).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jc w:val="both"/>
        <w:rPr/>
      </w:pPr>
      <w:r>
        <w:rPr>
          <w:sz w:val="28"/>
          <w:szCs w:val="28"/>
        </w:rPr>
        <w:t>Место нахождения отделения для обращения граждан: Тульская область, город Алексин, ул. Героев-Алексинцев, д.25. Контактный телефон: 8 (48753) 49290, адрес электронной почты:</w:t>
      </w:r>
      <w:r>
        <w:rPr/>
        <w:t xml:space="preserve"> </w:t>
      </w:r>
      <w:r>
        <w:rPr>
          <w:sz w:val="28"/>
          <w:szCs w:val="28"/>
        </w:rPr>
        <w:t>tcso.aleksin@tularegion.ru.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Деятельность Пункта проката является иной приносящей доход деятельностью Учреждения.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1" w:leader="none"/>
        </w:tabs>
        <w:spacing w:lineRule="auto" w:line="276" w:before="1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Учреждение в своей деятельности по организации работы Пункта проката руководствуется Конституцией Российской Федерации, законами, указами и распоряжениями Правительства Российской Федерации, Федеральными законами, законами Тульской области, Указами Президента РФ, постановлениями Правительства РФ, нормативными правовыми актами Губернатора Тульской области, Правительства Тульской области, министерства труда и социальной защиты населения Тульской области, приказами Комплексного центра, Уставом Комплексного центра, настоящим Положением.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0" w:leader="none"/>
          <w:tab w:val="left" w:pos="628" w:leader="none"/>
        </w:tabs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Услуги по временному обеспечению ТСР предоставляются гражданам, нуждающимся в ТСР по медицинским показаниям.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0" w:leader="none"/>
          <w:tab w:val="left" w:pos="628" w:leader="none"/>
        </w:tabs>
        <w:spacing w:lineRule="auto" w:line="276"/>
        <w:ind w:left="889" w:right="125" w:hanging="889"/>
        <w:rPr>
          <w:sz w:val="28"/>
          <w:szCs w:val="28"/>
        </w:rPr>
      </w:pPr>
      <w:r>
        <w:rPr>
          <w:sz w:val="28"/>
          <w:szCs w:val="28"/>
        </w:rPr>
        <w:t>Право внеочередного пользования услугами Пункта проката имеют: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инвалиды и участники Великой Отечественной войны;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ветераны Великой Отечественной войны;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граждане Российской Федерации, иностранные граждане </w:t>
      </w:r>
      <w:r>
        <w:rPr>
          <w:sz w:val="28"/>
          <w:szCs w:val="28"/>
        </w:rPr>
        <w:t>и лица без гражданства, постоянно проживавшие на территориях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республик и областей и образования в составе Российской Федерации новых субъектов (30 сентября 2022 года), постоянно проживавшие на территориях Донецкой Народной Республики и Луганской Народной Республики с 11 мая 2014 года по 29 сентября 2022 года, на территориях Запорожской области и Херсонской области с 24 февраля 2022 года по 29 сентября 2022 года и выехавшие в эти периоды за пределы указанных территорий в Российскую Федерацию, в том числе через территории третьих государств, или постоянно проживающие по состоянию на 01 марта 2023 года на территориях указанных субъектов Российской Федерации (далее- граждане, проживавшие или проживающие на территориях ДНР, ЛНР, Запорожской и Херсонской областей);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/>
      </w:pPr>
      <w:r>
        <w:rPr>
          <w:sz w:val="28"/>
          <w:szCs w:val="28"/>
        </w:rPr>
        <w:t xml:space="preserve">-граждане, проходящие (проходившие) военную службу по контракту ( 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принимающие </w:t>
      </w:r>
      <w:r>
        <w:rPr>
          <w:sz w:val="28"/>
          <w:szCs w:val="28"/>
        </w:rPr>
        <w:t xml:space="preserve">(принимавшие) участие в специальной военной операции, проводимой с 24 февраля 2022 год, или призванные на военную службу по мобилизации, участники частных военных компаний и члены их семей (далее граждане, принимающие ( принимавшие) участие в специальной военной операции и члены их семей)); 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/>
      </w:pPr>
      <w:r>
        <w:rPr>
          <w:sz w:val="28"/>
          <w:szCs w:val="28"/>
        </w:rPr>
        <w:t>- граждане, признанные нуждающимися в социальном обслуживании, в том числе в социальных услуга по уходу.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1.8. Оснащение Пункта проката ТСР осуществляется за счет средств Учреждения.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1.9. Отношения между Учреждением и гражданином регулируются договором о предоставлении во временное пользование технических средств реабилитации (далее - Договор).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1.10. Договор заключается на срок до одного года (с последующим продлением в виде заключения аналогичного договора без ограничения количества пролонгаций).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1.11. По истечении срока, указанного в Договоре, техническое средство реабилитации возвращается гражданином в Пункт проката.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1.12. Сведения об обращении за ТСР , их выдаче и возврате вносятся и хранятся в ведомственной информационной системе, доступ к которой обеспечен в отделении приема граждан и предоставления срочных социальных услуг и территориальных координационных центрах в целях своевременного выявления граждан, нуждающихся в уходе, и обеспечения их ТСР.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/>
      </w:pPr>
      <w:r>
        <w:rPr>
          <w:sz w:val="28"/>
          <w:szCs w:val="28"/>
        </w:rPr>
        <w:t>1.13.</w:t>
      </w:r>
      <w:r>
        <w:rPr/>
        <w:t xml:space="preserve"> </w:t>
      </w:r>
      <w:r>
        <w:rPr>
          <w:sz w:val="28"/>
          <w:szCs w:val="28"/>
        </w:rPr>
        <w:t>Все споры и разногласия между заявителями Учреждением, если они не будут разрешены путем переговоров, подлежат разрешению в суде в установленном законодательством Российской Федерации порядке.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1.14. Учреждение обязано предоставлять информацию об услугах, оказываемых пунктом проката технических средств реабилитации отдельным категориям граждан во временное пользование.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1.15. Учреждение представляет в министерство труда и социальной защиты Тульской области ежеквартально до 5-го числа месяца, следующего за отчетным кварталом, информацию о предоставленных услугах Пунктом проката (приложение 1 к Положению).</w:t>
      </w:r>
    </w:p>
    <w:p>
      <w:pPr>
        <w:pStyle w:val="Normal"/>
        <w:tabs>
          <w:tab w:val="clear" w:pos="720"/>
          <w:tab w:val="left" w:pos="0" w:leader="none"/>
          <w:tab w:val="left" w:pos="628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701" w:leader="none"/>
        </w:tabs>
        <w:spacing w:lineRule="auto" w:line="276"/>
        <w:ind w:left="709" w:right="0" w:hanging="283"/>
        <w:jc w:val="center"/>
        <w:rPr/>
      </w:pPr>
      <w:r>
        <w:rPr>
          <w:sz w:val="28"/>
          <w:szCs w:val="28"/>
        </w:rPr>
        <w:t>Цели</w:t>
      </w:r>
      <w:r>
        <w:rPr>
          <w:spacing w:val="-5"/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задачи деятельности </w:t>
      </w:r>
    </w:p>
    <w:p>
      <w:pPr>
        <w:pStyle w:val="1"/>
        <w:tabs>
          <w:tab w:val="clear" w:pos="720"/>
          <w:tab w:val="left" w:pos="1701" w:leader="none"/>
        </w:tabs>
        <w:spacing w:lineRule="auto" w:line="276"/>
        <w:ind w:left="709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2.1. Цель деятельности – временное обеспечение ТСР граждан, в том числе инвалидов (детей-инвалидов).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2.2. Задачи деятельности: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/>
      </w:pPr>
      <w:r>
        <w:rPr>
          <w:b w:val="false"/>
          <w:sz w:val="28"/>
          <w:szCs w:val="28"/>
        </w:rPr>
        <w:t>- временно обеспечить инвалидов (детей-инвалидов) ТСР, рекомендованными индивидуальной программой реабилитации или абилитации инвалида (ребенка-инвалида), до момента получения необходимого ТСР в постоянное пользование в соответствии с законодательством;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временно обеспечить инвалидов (детей-инвалидов) ТСР на период ремонта или технического обслуживания ТСР, имеющегося в постоянном пользовании в соответствии с рекомендациями ИПРА;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временно обеспечить ТСР получателей на период восстановления после травм, профилактики и лечения заболеваний, в послеоперационный период, период проведения реабилитационных или абилитационных мероприятий;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создать условия для обучения получателей и лиц, представляющих интересы получателей, элементарным навыкам подбора и самостоятельного применения ТСР;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иные задачи, связанные с временным обеспечением получателей ТСР.</w:t>
      </w:r>
    </w:p>
    <w:p>
      <w:pPr>
        <w:pStyle w:val="1"/>
        <w:tabs>
          <w:tab w:val="clear" w:pos="720"/>
          <w:tab w:val="left" w:pos="203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560" w:leader="none"/>
        </w:tabs>
        <w:spacing w:lineRule="auto" w:line="276" w:before="1" w:after="0"/>
        <w:ind w:left="2694" w:right="0" w:hanging="1559"/>
        <w:jc w:val="center"/>
        <w:rPr/>
      </w:pPr>
      <w:r>
        <w:rPr>
          <w:sz w:val="28"/>
          <w:szCs w:val="28"/>
        </w:rPr>
        <w:t>Организация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Пункта проката</w:t>
      </w:r>
    </w:p>
    <w:p>
      <w:pPr>
        <w:pStyle w:val="1"/>
        <w:tabs>
          <w:tab w:val="clear" w:pos="720"/>
          <w:tab w:val="left" w:pos="1560" w:leader="none"/>
        </w:tabs>
        <w:spacing w:lineRule="auto" w:line="276" w:before="1" w:after="0"/>
        <w:ind w:left="2694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3.1. Работа Пункта проката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человека, реализуется в соответствии со стандартами оказания социальных услуг.</w:t>
      </w:r>
    </w:p>
    <w:p>
      <w:pPr>
        <w:pStyle w:val="Style18"/>
        <w:spacing w:lineRule="auto" w:line="276" w:before="9" w:after="0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3.2. Деятельность работников осуществляется в строгом соответствии с принципами, установленными ст. 4 Федерального закона № 442-ФЗ от 28.12.2013г. «Об основах социального обслуживания граждан в Российской Федерации», а именно: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адресность предоставления социальных услуг;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сохранение пребывания гражданина в привычной благоприятной среде;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добровольность;</w:t>
      </w:r>
    </w:p>
    <w:p>
      <w:pPr>
        <w:pStyle w:val="Style18"/>
        <w:spacing w:lineRule="auto" w:line="276" w:before="9" w:after="0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- конфиденциальность.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3.3. Директор Учреждения создает условия для организации деятельности Пункта проката и выделяет помещение для хранения ТСР.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3.4. Директором Учреждения определяется материально ответственное лицо, с которым заключается договор о полной материальной ответственности по приему, хранению, выдаче ТСР.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3.5. Руководство работой Пункта проката осуществляется заведующим отделением приема граждан и предоставления срочных социальных услуг.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3.6. Сотрудники отделения приема граждан и предоставления срочных социальных услуг формируют номенклатуру ТСР, выдаваемых отдельным категориям граждан во временное пользование, в соответствии с обновлением материально технической базы.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3.7. Пункт проката может пополнять фонд технических средств реабилитации в том числе за счет приема у граждан исправных ТСР, бывших в употреблении. После приема и возврата ТСР в пункты проката они подлежат дезинфекции.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3.8. Учет ТСР, выданных гражданам, ведется в Журнале учета выданных ТСР (приложение 2 к Положению).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/>
      </w:pPr>
      <w:r>
        <w:rPr>
          <w:b w:val="false"/>
          <w:sz w:val="28"/>
          <w:szCs w:val="28"/>
        </w:rPr>
        <w:t xml:space="preserve">3.9. Информация о пункте проката подлежит размещению на информационных стендах в помещениях учреждения, медицинских организаций, органов местного самоуправления (далее - </w:t>
      </w:r>
      <w:r>
        <w:rPr>
          <w:b w:val="false"/>
          <w:strike w:val="false"/>
          <w:dstrike w:val="false"/>
          <w:sz w:val="28"/>
          <w:szCs w:val="28"/>
        </w:rPr>
        <w:t>ОМСУ), Социального фонда России по Тульской области и иных организаций, а также сайтах учреждения, Министерства труда и социальной защиты Тульской области, ОМСУ; в средствах массовой информации, в том числе в информационно-телекоммуникационной сети «Интернет</w:t>
      </w:r>
      <w:r>
        <w:rPr>
          <w:b w:val="false"/>
          <w:strike w:val="false"/>
          <w:dstrike w:val="false"/>
          <w:sz w:val="28"/>
          <w:szCs w:val="28"/>
          <w:lang w:val="ru-RU"/>
        </w:rPr>
        <w:t>».</w:t>
      </w:r>
      <w:r>
        <w:rPr>
          <w:b w:val="false"/>
          <w:strike w:val="false"/>
          <w:dstrike w:val="false"/>
          <w:sz w:val="28"/>
          <w:szCs w:val="28"/>
        </w:rPr>
        <w:t xml:space="preserve"> 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trike w:val="false"/>
          <w:dstrike w:val="false"/>
          <w:sz w:val="28"/>
          <w:szCs w:val="28"/>
        </w:rPr>
      </w:pPr>
      <w:r>
        <w:rPr>
          <w:b w:val="false"/>
          <w:strike w:val="false"/>
          <w:dstrike w:val="false"/>
          <w:sz w:val="28"/>
          <w:szCs w:val="28"/>
        </w:rPr>
        <w:t xml:space="preserve">3.10. Мониторинг обеспеченности пункта проката ТСР осуществляется территориальными координационными центрами. </w:t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tabs>
          <w:tab w:val="clear" w:pos="720"/>
          <w:tab w:val="left" w:pos="1967" w:leader="none"/>
        </w:tabs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предоставления ТСР</w:t>
      </w:r>
    </w:p>
    <w:p>
      <w:pPr>
        <w:pStyle w:val="Style18"/>
        <w:spacing w:lineRule="auto" w:line="276" w:before="1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4.1. Предоставление технических средств реабилитации во временное пользование осуществляется на основании заявления поданного гражданином, его законным представителем или гражданином, осуществляющим уход за гражданином, нуждающимся в уходе, на основе родственных, соседских или дружеских связей (далее — лицо из ближайшего окружения)  (приложение 3 к Положению) в пункт проката ТСР или территориальный координационный центр, с которым взаимодействует пункт проката.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4.2 Учреждение заключает с гражданином, его законным представителем или лицом из ближайшего окружения договор о предоставлении ТСР во временное пользование (приложение 5 к Положению).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4.3. ТСР выдаются по предъявлении следующих документов: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 документа, удостоверяющего личность заявителя;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-страхового свидетельства обязательного пенсионного страхования, содержащего страховой номер индивидуального лицевого счета (СНИЛС);</w:t>
      </w:r>
    </w:p>
    <w:p>
      <w:pPr>
        <w:pStyle w:val="Style18"/>
        <w:spacing w:lineRule="auto" w:line="276"/>
        <w:ind w:left="101" w:right="113" w:hanging="0"/>
        <w:rPr/>
      </w:pPr>
      <w:r>
        <w:rPr>
          <w:sz w:val="28"/>
          <w:szCs w:val="28"/>
        </w:rPr>
        <w:t>-документа, подтверждающего регистрацию по месту жительства (пребывания) в Тульской области (если эти сведения не содержатся в документе, удостоверяющем личность);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-согласия на обработку персональных данных (приложение 4 к Положению).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законным представителем заявителя дополнительно предъявляется документ, подтверждающий полномочия законного представителя.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4.4. ТСР выдаются во временное пользование в исправном состоянии. Проверка исправности ТСР производится в присутствии заявителя.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4.5. Технические средства реабилитации подбираются с учетом индивидуальных особенностей заявителя. При выдаче ТСР заявителя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>
      <w:pPr>
        <w:pStyle w:val="Style18"/>
        <w:spacing w:lineRule="auto" w:line="276"/>
        <w:ind w:left="101" w:right="113" w:hanging="0"/>
        <w:rPr>
          <w:sz w:val="28"/>
          <w:szCs w:val="28"/>
        </w:rPr>
      </w:pPr>
      <w:r>
        <w:rPr>
          <w:sz w:val="28"/>
          <w:szCs w:val="28"/>
        </w:rPr>
        <w:t>4.6. Предоставляя во временное пользование ТСР, Учреждение предупреждает заявителя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4.7. Заявитель уведомляет Учреждение о возникшей неисправности ТСР в процессе эксплуатации.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4.8. Выдача и возврат ТСР осуществляются согласно акту приема-передачи.</w:t>
      </w:r>
    </w:p>
    <w:p>
      <w:pPr>
        <w:pStyle w:val="Style18"/>
        <w:spacing w:lineRule="auto" w:line="276"/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4.9. При отсутствии у гражданина, нуждающегося в уходе, его законного представителя или лица из его ближайшего окружения возможности самостоятельно получить или вернуть ТСР могут осуществляться услуги по доставке ТСР до места жительства или места пребывания гражданина, нуждающегося в уходе, и обратно, их заносу-выносу, сборке-разборке и установке.</w:t>
      </w:r>
    </w:p>
    <w:p>
      <w:pPr>
        <w:pStyle w:val="Style18"/>
        <w:spacing w:lineRule="auto" w:line="276"/>
        <w:ind w:left="0" w:right="113" w:hanging="0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jc w:val="center"/>
        <w:rPr>
          <w:b/>
          <w:b/>
          <w:sz w:val="28"/>
        </w:rPr>
      </w:pPr>
      <w:r>
        <w:rPr>
          <w:b/>
          <w:sz w:val="28"/>
        </w:rPr>
        <w:t xml:space="preserve">5. Порядок оплаты услуг Пункта проката </w:t>
      </w:r>
    </w:p>
    <w:p>
      <w:pPr>
        <w:pStyle w:val="Style18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5.1. Пункт проката предоставляет заявителю во временное пользование ТСР за плату в соответствии с утвержденными Учреждением тарифами.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5.2. Услуги пункта проката предоставляются бесплатно: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детям, в том числе детям-инвалидам;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инвалидам;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ветеранам Великой Отечественной войны;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гражданам, проживавшим или проживающим на территориях ДНР, ЛНР, Запорожской и Херсонской областей; 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гражданам принимающим ( принимавшим) участие в специальной военной операции и члены их семей</w:t>
      </w:r>
      <w:r>
        <w:rPr>
          <w:sz w:val="28"/>
          <w:szCs w:val="28"/>
        </w:rPr>
        <w:t>;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- гражданам нуждающимся в уходе.</w:t>
      </w:r>
    </w:p>
    <w:p>
      <w:pPr>
        <w:pStyle w:val="Style18"/>
        <w:spacing w:lineRule="auto" w:line="276"/>
        <w:ind w:left="0" w:right="125" w:hanging="0"/>
        <w:rPr/>
      </w:pPr>
      <w:r>
        <w:rPr>
          <w:sz w:val="28"/>
          <w:szCs w:val="28"/>
        </w:rPr>
        <w:t>5.3. Тариф рассчитывается в соответствии с методикой расчета суточного тарифа услуги, оказываемой пунктами проката ТСР отдельным категориям граждан во временное пользование (приложение 6 к Положению).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5.4. Тариф на услугу утверждается учреждением один раз в год не позднее 15 декабря и применяется с 1 января года, следующего за отчетным.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5.5. При получении ТСР заявитель вносит стоимость, предусмотренную Договором.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5.6. При возврате заявителем ТСР ранее срока, указанного в Договоре, Учреждение производит перерасчет за пользование ТСР по фактическому сроку проката. Число дней пользования ТСР исчисляется в календарных днях.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5.7. Если день возврата ТСР совпадает с выходным днем Учреждения, то ТСР должно быть возвращено в следующий за ним рабочий день.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5.8. Заявитель обязан вернуть ТСР в технически исправном состоянии и в срок, определенный Договором.</w:t>
      </w:r>
    </w:p>
    <w:p>
      <w:pPr>
        <w:pStyle w:val="Style18"/>
        <w:spacing w:lineRule="auto" w:line="276"/>
        <w:ind w:left="0" w:right="125" w:hanging="0"/>
        <w:rPr>
          <w:sz w:val="28"/>
          <w:szCs w:val="28"/>
        </w:rPr>
      </w:pPr>
      <w:r>
        <w:rPr>
          <w:sz w:val="28"/>
          <w:szCs w:val="28"/>
        </w:rPr>
        <w:t>5.9. В случае утраты ТСР заявитель обязан возместить его оценочную стоимость.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Ведение учета технических средств реабилитации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пунктов проката в электронном виде</w:t>
      </w:r>
    </w:p>
    <w:p>
      <w:pPr>
        <w:pStyle w:val="Style18"/>
        <w:spacing w:lineRule="auto" w:line="276" w:before="3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6.1. Учреждение ведут учет ТСР в пунктах проката в подсистеме "Технические средства реабилитации и путевки на санаторно-курортное лечение" (далее - подсистема) в программном комплексе "Адресная социальная помощь" (далее - АС "АСП").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6.2. Учреждение осуществляется наполнение складов пунктов проката ТСР в задаче "Журнал учета изделий, предоставляемых в прокат" подсистемы.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6.3. Заявки на предоставление услуги вносятся сотрудниками Учреждений в персональной карточке учета заявителя (далее - ПКУ) в течение 1 часа с момента их поступления.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6.4. В случае отсутствия ПКУ в АС "АСП" сотрудник Учреждения создает новую ПКУ и вносит заявку на предоставление услуги.</w:t>
      </w:r>
    </w:p>
    <w:p>
      <w:pPr>
        <w:pStyle w:val="Style18"/>
        <w:spacing w:lineRule="auto" w:line="276" w:before="3" w:after="0"/>
        <w:rPr>
          <w:sz w:val="28"/>
          <w:szCs w:val="28"/>
        </w:rPr>
      </w:pPr>
      <w:r>
        <w:rPr>
          <w:sz w:val="28"/>
          <w:szCs w:val="28"/>
        </w:rPr>
        <w:t>6.5. В случае отсутствия в пунктах проката Учреждения необходимого заявителю ТСР Учреждение в рамках соглашения о взаимодействии с государственным учреждением Тульской области "Тульский областной центр реабилитации инвалидов" (далее - ГУ ТО "ТОЦРИ") сообщает о необходимости перераспределения заявки.</w:t>
      </w:r>
    </w:p>
    <w:p>
      <w:pPr>
        <w:pStyle w:val="1"/>
        <w:tabs>
          <w:tab w:val="clear" w:pos="720"/>
          <w:tab w:val="left" w:pos="3382" w:leader="none"/>
        </w:tabs>
        <w:spacing w:lineRule="auto" w:line="276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20"/>
          <w:tab w:val="left" w:pos="3382" w:leader="none"/>
        </w:tabs>
        <w:spacing w:lineRule="auto" w:line="276"/>
        <w:ind w:left="3381" w:right="0" w:hanging="0"/>
        <w:jc w:val="both"/>
        <w:rPr/>
      </w:pPr>
      <w:r>
        <w:rPr>
          <w:sz w:val="28"/>
          <w:szCs w:val="28"/>
        </w:rPr>
        <w:t>7. Заключительные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Normal"/>
        <w:widowControl/>
        <w:suppressAutoHyphens w:val="false"/>
        <w:spacing w:lineRule="auto" w:line="276" w:before="280" w:after="0"/>
        <w:jc w:val="both"/>
        <w:rPr/>
      </w:pPr>
      <w:r>
        <w:rPr>
          <w:color w:val="000000"/>
          <w:sz w:val="28"/>
          <w:szCs w:val="28"/>
          <w:lang w:eastAsia="ru-RU"/>
        </w:rPr>
        <w:t>7.1. Настоящее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Положение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вступает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силу</w:t>
      </w:r>
      <w:r>
        <w:rPr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момента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его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утверждения.</w:t>
      </w:r>
    </w:p>
    <w:p>
      <w:pPr>
        <w:pStyle w:val="Normal"/>
        <w:widowControl/>
        <w:suppressAutoHyphens w:val="false"/>
        <w:spacing w:lineRule="auto" w:line="276" w:before="45" w:after="0"/>
        <w:jc w:val="both"/>
        <w:rPr/>
      </w:pPr>
      <w:r>
        <w:rPr>
          <w:color w:val="000000"/>
          <w:sz w:val="28"/>
          <w:szCs w:val="28"/>
          <w:lang w:eastAsia="ru-RU"/>
        </w:rPr>
        <w:t>7.2. В</w:t>
      </w:r>
      <w:r>
        <w:rPr>
          <w:color w:val="000000"/>
          <w:spacing w:val="-4"/>
          <w:sz w:val="28"/>
          <w:szCs w:val="28"/>
          <w:lang w:eastAsia="ru-RU"/>
        </w:rPr>
        <w:t xml:space="preserve"> настоящее </w:t>
      </w:r>
      <w:r>
        <w:rPr>
          <w:color w:val="000000"/>
          <w:sz w:val="28"/>
          <w:szCs w:val="28"/>
          <w:lang w:eastAsia="ru-RU"/>
        </w:rPr>
        <w:t>Положение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могут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быть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внесены</w:t>
      </w:r>
      <w:r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изменения, путем издания соответствующего приказа, подписанного директором Комплексного центра.</w:t>
      </w:r>
    </w:p>
    <w:p>
      <w:pPr>
        <w:pStyle w:val="Normal"/>
        <w:widowControl/>
        <w:suppressAutoHyphens w:val="false"/>
        <w:spacing w:lineRule="auto" w:line="276" w:before="45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1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bookmarkStart w:id="2" w:name="Par141"/>
      <w:bookmarkEnd w:id="2"/>
      <w:r>
        <w:rPr>
          <w:sz w:val="24"/>
          <w:szCs w:val="24"/>
          <w:lang w:eastAsia="ru-RU"/>
        </w:rPr>
        <w:t>Информация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государственного учреждения Тульской области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«Комплексный центр социального обслуживания населения №2»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предоставленных пунктом проката технических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 услугах за _____ квартал 20 ___ года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011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304"/>
        <w:gridCol w:w="1132"/>
        <w:gridCol w:w="849"/>
        <w:gridCol w:w="964"/>
        <w:gridCol w:w="909"/>
        <w:gridCol w:w="1022"/>
        <w:gridCol w:w="1130"/>
        <w:gridCol w:w="1020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человек (чел.)</w:t>
            </w:r>
          </w:p>
        </w:tc>
        <w:tc>
          <w:tcPr>
            <w:tcW w:w="5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Выданные ТСР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отчетный квартал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Тариф (руб.)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Фактические доходы (руб.)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отчетный квартал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начала года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Директор учреждения  ________________ 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              (Ф.И.О.)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Главный бухгалтер ___________________ 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              (Ф.И.О.)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М.П.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2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bookmarkStart w:id="3" w:name="Par202"/>
      <w:bookmarkEnd w:id="3"/>
      <w:r>
        <w:rPr>
          <w:sz w:val="24"/>
          <w:szCs w:val="24"/>
          <w:lang w:eastAsia="ru-RU"/>
        </w:rPr>
        <w:t>Журнал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учета выданных технических средств реабилитации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843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845"/>
        <w:gridCol w:w="1131"/>
        <w:gridCol w:w="1140"/>
        <w:gridCol w:w="993"/>
        <w:gridCol w:w="994"/>
        <w:gridCol w:w="848"/>
        <w:gridCol w:w="993"/>
        <w:gridCol w:w="1248"/>
        <w:gridCol w:w="1304"/>
      </w:tblGrid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Ф.И.О.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Адрес места фактического проживания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Категория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ТСР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Номер, дата договора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Срок возврата по договору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Причина досрочного возврата ТСР (дата, способ уведомления о досрочном возврате)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Подпись гражданина (законного представителя)</w:t>
            </w:r>
          </w:p>
        </w:tc>
      </w:tr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3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Директору государственного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учреждения Тульской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 xml:space="preserve">«Комплексный центр социального 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обслуживания населения №2»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от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СНИЛС: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серия: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номер: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выдан: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дата выдачи: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Телефон: 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4" w:name="Par264"/>
      <w:bookmarkEnd w:id="4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ЗАЯВЛЕНИЕ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 предоставлении технического средства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реабилитации во временное пользование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Прошу  предоставить  техническое  средство  реабилитации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на период с "__" ___________ 20__ г. по "__" __________ 20__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(Наименование технического средства реабилитации)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К заявлению прилагаю следующие документы: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 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 заявителя)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4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Директору государственного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учреждения Тульской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 xml:space="preserve">«Комплексный центр социального 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обслуживания населения №2»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от 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СНИЛС: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серия: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номер: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выдан: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дата выдачи: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Телефон: ______________________</w:t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заявление.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Данным   заявлением   предоставляю   свое   согласие   государственному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учреждению  Тульской области "__________________________________________"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 пользу третьих лиц на обработку моих персональных данных в соответствии с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Федеральным  </w:t>
      </w:r>
      <w:hyperlink r:id="rId2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законом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 от  27.07.2006  г. N 152-ФЗ "О персональных данных"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целях обеспечения меня техническими средствами реабилитации.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(подпись)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(дата)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5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Договор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предоставлении во временное</w:t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г.Алексин                                           "___" __________20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Государственное           учреждение          Тульской          области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«Комплексный центр социального обслуживания населения №2», именуемое     в     дальнейшем      Учреждение, в лице директора______________________________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(фамилия, имя, отчество)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действующего   на   основании   Устава,  с  одной  стороны   и    гражданин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eastAsia="ru-RU"/>
        </w:rPr>
        <w:t>(фамилия, имя, отчество гражданина пожилого возраста или инвалида, год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рождения, группа инвалидности)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паспорт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(серия, номер, когда и кем выдан)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зарегистрированный по адресу: ____________________________________________,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(район, город, улица, дом, квартира)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eastAsia="ru-RU"/>
        </w:rPr>
        <w:t>(документ, на основании которого установлена необходимость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в предмете проката)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именуемый  в дальнейшем Получатель,  с  другой стороны, совместно именуемые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Стороны, заключили настоящий Договор о нижеследующем.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1. Предмет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5" w:name="Par361"/>
      <w:bookmarkEnd w:id="5"/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1.1.   Учреждение  обязуется   согласно  условиям  настоящего 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предоставить  Получателю  за  плату  во  временное  пользование технические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средства реабилитации (далее - ТСР) 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 в полной исправности сроком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eastAsia="ru-RU"/>
        </w:rPr>
        <w:t>(наименование ТСР, количество)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 ______ месяцев с "___" _________20 __ г. по "___" 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6" w:name="Par367"/>
      <w:bookmarkEnd w:id="6"/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1.2.  Оценочная стоимость ТСР, предоставленного по настоящему Договору,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         основании         балансовой         стоимости        составляет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 рублей.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(сумма цифрами, прописью)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1.3.  ТСР,  предоставленные  по  настоящему  Договору,  используются 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следующих целях 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1.4. Выдача ТСР, переданного во временное пользование, осуществляется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помещении  Учреждения,  транспортировка  ТСР до места жительства Получателя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производится Получателем за свой счет.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2. Стоимость услуги Пункта проката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2.1.   За   пользование   ТСР   Получатель   при   заключении 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единовременно  оплачивает  Учреждению  стоимость  услуги  проката  согласно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тарифам            на           прокат         ТСР        в         размере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 рублей в соответствии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(сумма цифрами и прописью)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с  Расчетом  стоимости  проката  технического  средства  (</w:t>
      </w:r>
      <w:hyperlink w:anchor="Par492" w:tgtFrame="Расче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 N 1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2.2.   Оплата  производится  наличными  денежными  средствами  в  кассу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2.3.   В   случае   досрочного   возврата   ТСР   производится  возврат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соответствующей  части  полученной платы, исчисляя ее со дня, следующего за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днем фактического возврата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3. Обязательства Сторон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 Обязанности Учреждения: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3.1.1.  Передать Получателю ТСР в исправном состоянии на основании Акта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приема-передачи  ТСР,  в  котором  отражается  фактическое  состояние ТСР и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комплектация (</w:t>
      </w:r>
      <w:hyperlink w:anchor="Par532" w:tgtFrame=" Ак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N 2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 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После  подписания  Акта  приема-передачи ТСР претензии к переданному по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 ТСР не принимаются.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3.1.2. Проверить исправность ТСР в присутствии Получателя.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3.1.3.  Ознакомить  Получателя  с  правилами  эксплуатации,  хранения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техники   безопасности   ТСР,  в  случае  необходимости  выдать  письменные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инструкции о пользовании указанным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3.1.4.    При   обнаружении   недостатков,   полностью   или   частично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препятствующих  пользованию ТСР, Учреждение обязано в течение 3 дней со дня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обращения  Получателя  безвозмездно  устранить  недостатки  на  месте  либо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произвести  замену  ТСР  другим  аналогичным  ТСР, находящимся в надлежащем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состоянии.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При  отсутствии  возможности  для замены ТСР  Получатель возвращает ТСР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Учреждению.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3.1.5. Проводить капитальный и текущий ремонт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 Обязанности Получателя: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3.2.2.  Поддерживать  ТСР  в  исправном  состоянии,  пользоваться  им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соответствии   с   его  назначением,  не  предоставлять  другим  лицам,  не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производить  разборку  и  ремонт  ТСР,  вернуть  его  по  истечении  срока,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указанного  в  </w:t>
      </w:r>
      <w:hyperlink w:anchor="Par361" w:tgtFrame=" 1.1. Учреждение обязуется согласно условиям настоящего Договора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п.  1.1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  Договора, Учреждению в исправном состоянии по Акту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(</w:t>
      </w:r>
      <w:hyperlink w:anchor="Par566" w:tgtFrame=" Акт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приложение N 3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к Договору).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3.2.3.  Оплатить  Учреждению  стоимость  ремонта и транспортировки ТСР,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если   неисправность   (повреждение)   ТСР   явились  следствием  нарушения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Получателем правил эксплуатации и хранения.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3.2.4.  Незамедлительно  уведомить Учреждение об утрате или повреждении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ТСР с момента свершения таких событий.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3.2.5.  В  случае  утраты ТСР гражданин обязан возместить его оценочную</w:t>
      </w:r>
    </w:p>
    <w:p>
      <w:pPr>
        <w:pStyle w:val="Normal"/>
        <w:suppressAutoHyphens w:val="false"/>
        <w:jc w:val="both"/>
        <w:rPr/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стоимость, указанную в </w:t>
      </w:r>
      <w:hyperlink w:anchor="Par367" w:tgtFrame=" 1.2. Оценочная стоимость ТСР, предоставленного по настоящему Договору,">
        <w:r>
          <w:rPr>
            <w:rFonts w:cs="Courier New" w:ascii="Courier New" w:hAnsi="Courier New"/>
            <w:color w:val="0000FF"/>
            <w:sz w:val="20"/>
            <w:szCs w:val="20"/>
            <w:lang w:eastAsia="ru-RU"/>
          </w:rPr>
          <w:t>пункте 1.2</w:t>
        </w:r>
      </w:hyperlink>
      <w:r>
        <w:rPr>
          <w:rFonts w:cs="Courier New" w:ascii="Courier New" w:hAnsi="Courier New"/>
          <w:sz w:val="20"/>
          <w:szCs w:val="20"/>
          <w:lang w:eastAsia="ru-RU"/>
        </w:rPr>
        <w:t xml:space="preserve"> настоящего Договора.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eastAsia="ru-RU"/>
        </w:rPr>
        <w:t>4. Возврат технического средства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4.1.  Срок  пользования  ТСР  исчисляется в календарных днях. Если день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возврата  совпадает с выходным днем, то ТСР должно быть возвращено в первый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рабочий день после окончания согласованного в Договоре срока пользования.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4.2.   Получатель  вправе  отказаться  от  пользования  ТСР,  письменно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предупредив Учреждение о своем намерении за десять дней до возврата.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5. Ответственность Сторон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5.1.  При  просрочке  возврата  ТСР  с момента окончания срока действия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договора  Получатель  обязан оплатить неустойку в виде пени в размере одной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трехсотой   действующей   на   день  уплаты  пени  ставки  рефинансирования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Центрального  банка  Российской  Федерации  от  оценочной  стоимости ТСР за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каждый  день  просрочки  до  дня  возврата  включительно.  При  этом  сумма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неустойки не может превышать оценочную стоимость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Выплата  неустойки  не  освобождает  Получателя от обязанности возврата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5.2.  За  неисполнение  или ненадлежащее исполнение настоящего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стороны  несут  ответственность  в  соответствии  с  условиями  Договора  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действующим законодательством.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5.3.  Стороны  освобождаются от ответственности за частичное или полное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неисполнение  обязательств  по настоящему Договору, если такое неисполнение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явилось следствием обстоятельств непреодолимой силы.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5.4.  Риск случайной утраты (повреждения, порчи) ТСР несет Получатель с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момента передачи ТСР во временное пользование и до возврата в Учреждение.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eastAsia="ru-RU"/>
        </w:rPr>
        <w:t>6. Порядок изменения и дополнения Договора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6.1.  Любые  изменения  и  дополнения  к настоящему Договору имеют силу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только  в  том  случае,  если  они  оформлены в письменном виде и подписаны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обеими Сторонами.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6.2.  Учреждение  может  требовать  досрочного  расторжения  Договора 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следующих случаях: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если  Получатель  пользуется  ТСР  не  в  соответствии  с Договором или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назначением ТСР;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если Получатель умышленно или по неосторожности ухудшает состояние ТСР.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7. Порядок разрешения споров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7.1.  Все  споры,  не  урегулированные настоящим Договором, разрешаются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Сторонами  путем  переговоров.  При невозможности достижения согласия между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Сторонами споры разрешаются в судебном порядке.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8. Заключительные положения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8.1. Настоящий Договор составлен в двух экземплярах, имеющих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экземпляру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8.2.  Передача  Получателем  своих  прав  и  обязанностей по настоящему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Договору   другому   лицу,   предоставление   этого   ТСР  в  безвозмездное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пользование,  внесение его в качестве имущественного вклада в хозяйственные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товарищества  и  общества или паевого взноса в производственные кооперативы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не допускаются.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9. Реквизиты и подписи Сторон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tbl>
      <w:tblPr>
        <w:tblW w:w="10071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86"/>
        <w:gridCol w:w="5384"/>
      </w:tblGrid>
      <w:tr>
        <w:trPr/>
        <w:tc>
          <w:tcPr>
            <w:tcW w:w="4686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384" w:type="dxa"/>
            <w:tcBorders/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>
        <w:trPr/>
        <w:tc>
          <w:tcPr>
            <w:tcW w:w="468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ГУ ТО «Комплексный центр социального обслуживания населения № 2»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Юридический адрес: 301362, Тульская обл.,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г. Алексин, ул. Пионерская, д.2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Банковские реквизиты: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ИНН 7111008520          КПП 711101001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PT Astra Serif;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лицевой счет 02662011640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ОТДЕЛЕНИЕ ТУЛА БАНКА РОССИИ//УФК по Тульской области г. Тула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БИК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color w:val="FF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017003983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расчетный счет 03224643700000006600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99" w:hanging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коррекционный счет 40102810445370000059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ОГРН 1027103671990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ОКТМО 70706000001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Назначение платежа: платные услуги для ГУ ТО «КЦСОН №2»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Тел. (48753) 4-20-73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Факс (48753) 4-48-27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en-US"/>
              </w:rPr>
              <w:t>e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-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en-US"/>
              </w:rPr>
              <w:t>mail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 xml:space="preserve">: </w:t>
            </w:r>
            <w:hyperlink r:id="rId3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tcso</w:t>
              </w:r>
            </w:hyperlink>
            <w:hyperlink r:id="rId4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.</w:t>
              </w:r>
            </w:hyperlink>
            <w:hyperlink r:id="rId5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aleksin</w:t>
              </w:r>
            </w:hyperlink>
            <w:hyperlink r:id="rId6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@</w:t>
              </w:r>
            </w:hyperlink>
            <w:hyperlink r:id="rId7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tularegion</w:t>
              </w:r>
            </w:hyperlink>
            <w:hyperlink r:id="rId8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</w:rPr>
                <w:t>.</w:t>
              </w:r>
            </w:hyperlink>
            <w:hyperlink r:id="rId9">
              <w:r>
                <w:rPr>
                  <w:rFonts w:eastAsia="" w:cs="Times New Roman" w:ascii="Courier New" w:hAnsi="Courier New" w:eastAsiaTheme="minorEastAsia"/>
                  <w:b w:val="false"/>
                  <w:bCs w:val="false"/>
                  <w:i w:val="false"/>
                  <w:iCs w:val="false"/>
                  <w:sz w:val="20"/>
                  <w:szCs w:val="20"/>
                  <w:shd w:fill="auto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И.о.д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иректор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а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 xml:space="preserve">__________ </w:t>
            </w: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  <w:lang w:val="ru-RU"/>
              </w:rPr>
              <w:t>Т.В.Морозова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eastAsia="" w:cs="Times New Roman" w:ascii="Courier New" w:hAnsi="Courier New" w:eastAsiaTheme="minorEastAsia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М.П.</w:t>
            </w:r>
          </w:p>
        </w:tc>
        <w:tc>
          <w:tcPr>
            <w:tcW w:w="53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Courier New" w:hAnsi="Courier New"/>
                <w:b/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ind w:left="0" w:right="0" w:firstLine="708"/>
              <w:rPr>
                <w:rFonts w:ascii="Courier New" w:hAnsi="Courier New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</w:rPr>
              <w:t>паспорт  хх хх № хххххх выдан «хх» февраля 2002 года Алексинским ГОВД Тульской области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ind w:left="0" w:right="0" w:firstLine="708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Адрес места жительства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г. Алексин, ул. </w:t>
            </w:r>
            <w:r>
              <w:rPr>
                <w:rFonts w:cs="Times New Roman"/>
                <w:color w:val="000000"/>
                <w:sz w:val="20"/>
                <w:szCs w:val="20"/>
              </w:rPr>
              <w:t>ХХХХХХХХХХ</w:t>
            </w:r>
            <w:r>
              <w:rPr>
                <w:rFonts w:cs="Times New Roman"/>
                <w:sz w:val="20"/>
                <w:szCs w:val="20"/>
              </w:rPr>
              <w:t xml:space="preserve">, д. </w:t>
            </w:r>
            <w:r>
              <w:rPr>
                <w:rFonts w:cs="Times New Roman"/>
                <w:color w:val="000000"/>
                <w:sz w:val="20"/>
                <w:szCs w:val="20"/>
              </w:rPr>
              <w:t>ХХ, кв. ХХ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Заказчик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Банковские реквизиты Заказчика (при наличии)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Фамилия, имя, отчество (при наличии)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Данные документа, удостоверяющего личность,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Адрес места жительства законного представителя Заказчика</w:t>
            </w:r>
          </w:p>
          <w:p>
            <w:pPr>
              <w:pStyle w:val="ConsPlusNonformat"/>
              <w:widowControl w:val="false"/>
              <w:tabs>
                <w:tab w:val="clear" w:pos="720"/>
              </w:tabs>
              <w:spacing w:lineRule="auto" w:line="240" w:before="0" w:after="0"/>
              <w:rPr>
                <w:rFonts w:ascii="Courier New" w:hAnsi="Courier New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sz w:val="20"/>
                <w:szCs w:val="20"/>
              </w:rPr>
              <w:t xml:space="preserve">   </w:t>
            </w:r>
            <w:r>
              <w:rPr>
                <w:rFonts w:cs="Times New Roman" w:ascii="Courier New" w:hAnsi="Courier New"/>
                <w:sz w:val="20"/>
                <w:szCs w:val="20"/>
              </w:rPr>
              <w:t xml:space="preserve">____________      </w:t>
            </w:r>
            <w:r>
              <w:rPr>
                <w:rFonts w:cs="Tinos" w:ascii="Courier New" w:hAnsi="Courier New"/>
                <w:sz w:val="20"/>
                <w:szCs w:val="20"/>
              </w:rPr>
              <w:t xml:space="preserve"> </w:t>
            </w:r>
            <w:r>
              <w:rPr>
                <w:rFonts w:cs="Tinos" w:ascii="Courier New" w:hAnsi="Courier New"/>
                <w:color w:val="000000"/>
                <w:sz w:val="20"/>
                <w:szCs w:val="20"/>
                <w:lang w:eastAsia="ru-RU"/>
              </w:rPr>
              <w:t>И.И. Иванов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both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eastAsia="Times New Roman" w:cs="Times New Roman" w:ascii="Courier New" w:hAnsi="Courier New"/>
                <w:bCs/>
                <w:sz w:val="20"/>
                <w:szCs w:val="20"/>
              </w:rPr>
              <w:t xml:space="preserve">             </w:t>
            </w:r>
            <w:r>
              <w:rPr>
                <w:rFonts w:cs="Times New Roman" w:ascii="Courier New" w:hAnsi="Courier New"/>
                <w:bCs/>
                <w:sz w:val="20"/>
                <w:szCs w:val="20"/>
              </w:rPr>
              <w:t>подпись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0"/>
              <w:jc w:val="both"/>
              <w:rPr>
                <w:rFonts w:ascii="Courier New" w:hAnsi="Courier New" w:cs="Times New Roman"/>
                <w:sz w:val="20"/>
                <w:szCs w:val="20"/>
              </w:rPr>
            </w:pPr>
            <w:r>
              <w:rPr>
                <w:rFonts w:cs="Times New Roman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200"/>
        <w:jc w:val="center"/>
        <w:rPr/>
      </w:pPr>
      <w:r>
        <w:rPr/>
      </w:r>
    </w:p>
    <w:p>
      <w:pPr>
        <w:pStyle w:val="Normal"/>
        <w:widowControl/>
        <w:jc w:val="right"/>
        <w:rPr/>
      </w:pPr>
      <w:r>
        <w:rPr/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1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cs="Courier New" w:ascii="Courier New" w:hAnsi="Courier New"/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4"/>
          <w:lang w:eastAsia="ru-RU"/>
        </w:rPr>
      </w:pPr>
      <w:bookmarkStart w:id="7" w:name="Par492"/>
      <w:bookmarkEnd w:id="7"/>
      <w:r>
        <w:rPr>
          <w:rFonts w:cs="Courier New" w:ascii="Courier New" w:hAnsi="Courier New"/>
          <w:sz w:val="20"/>
          <w:szCs w:val="24"/>
          <w:lang w:eastAsia="ru-RU"/>
        </w:rPr>
        <w:t>Расчет</w:t>
      </w:r>
    </w:p>
    <w:p>
      <w:pPr>
        <w:pStyle w:val="Normal"/>
        <w:suppressAutoHyphens w:val="false"/>
        <w:jc w:val="center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  <w:t>стоимости проката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</w:r>
    </w:p>
    <w:tbl>
      <w:tblPr>
        <w:tblW w:w="9014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"/>
        <w:gridCol w:w="3291"/>
        <w:gridCol w:w="1189"/>
        <w:gridCol w:w="2157"/>
        <w:gridCol w:w="1701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N п/п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Наименование технического средства реабилитации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Тариф, руб.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Срок, количество календарных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Стоимость проката, руб.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4"/>
          <w:lang w:eastAsia="ru-RU"/>
        </w:rPr>
      </w:pPr>
      <w:r>
        <w:rPr>
          <w:rFonts w:cs="Courier New" w:ascii="Courier New" w:hAnsi="Courier New"/>
          <w:sz w:val="20"/>
          <w:szCs w:val="24"/>
          <w:lang w:eastAsia="ru-RU"/>
        </w:rPr>
      </w:r>
    </w:p>
    <w:tbl>
      <w:tblPr>
        <w:tblW w:w="9014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479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ГУ ТО «КЦСОН №2»</w:t>
            </w:r>
          </w:p>
        </w:tc>
        <w:tc>
          <w:tcPr>
            <w:tcW w:w="447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ourier New" w:hAnsi="Courier New" w:cs="Courier New"/>
                <w:sz w:val="20"/>
                <w:szCs w:val="24"/>
                <w:lang w:eastAsia="ru-RU"/>
              </w:rPr>
            </w:pPr>
            <w:r>
              <w:rPr>
                <w:rFonts w:cs="Courier New" w:ascii="Courier New" w:hAnsi="Courier New"/>
                <w:sz w:val="20"/>
                <w:szCs w:val="24"/>
                <w:lang w:eastAsia="ru-RU"/>
              </w:rPr>
              <w:t>Получатель</w:t>
            </w:r>
          </w:p>
        </w:tc>
      </w:tr>
    </w:tbl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2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8" w:name="Par532"/>
      <w:bookmarkEnd w:id="8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Акт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по договору о предоставлении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eastAsia="ru-RU"/>
        </w:rPr>
        <w:t>во временное 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                                "___" __________20 __ г.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Государственное           учреждение          Тульской          области «Комплексный центр социального обслуживания населения №2», именуемое в дальнейшем Учреждение, в лице директора __________________, действующего на основании ________________, и гражданин    _______________________________,    именуемый   в   дальнейшем Получатель, с другой стороны составили настоящий акт о нижеследующем: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   соответствии    с    договором   о   предоставлении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   технических     средств      реабилитации    N 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от "__" _____________ 20 ___ г.  Учреждение  передало,  а Получатель принял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следующее ТСР: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результате осмотра вышеуказанных ТСР неисправности не выявлены.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Стороны друг к другу претензий не имеют.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Настоящий   акт   составлен  в  двух  экземплярах,  имеющих 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ГУ ТО «КЦСОН №2»:                                        Получатель: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______________/_________________/         ______________/_________________/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3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договору о предоставлении во временное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9" w:name="Par566"/>
      <w:bookmarkEnd w:id="9"/>
      <w:r>
        <w:rPr>
          <w:rFonts w:cs="Courier New" w:ascii="Courier New" w:hAnsi="Courier New"/>
          <w:sz w:val="20"/>
          <w:szCs w:val="20"/>
          <w:lang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eastAsia="ru-RU"/>
        </w:rPr>
        <w:t>Акт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eastAsia="ru-RU"/>
        </w:rPr>
        <w:t>приема-передачи ТСР по договору о предоставлении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eastAsia="ru-RU"/>
        </w:rPr>
        <w:t>во временное пользование технических средств реабилитации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Гражданин    _______________________________________________, именуемый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в дальнейшем Получатель,  с  одной  стороны  и  государственное  учреждение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Тульской области «Комплексный центр социального обслуживания населения №2» ,  именуемое  в  дальнейшем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Учреждение, в лице директора ____________________________, действующего  на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основании _____________________, с другой стороны составили настоящий акт 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нижеследующем: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   соответствии    с    договором   о   предоставлении  во  временное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пользование   технических    средств   реабилитации   N 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от "__" ______________ 20 ___ г.  Получатель  передал, а Учреждение приняло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следующее ТСР: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В результате осмотра вышеуказанных ТСР неисправности не выявлены.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Стороны друг к другу претензий не имеют.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Настоящий   акт   составлен  в  двух  экземплярах,  имеющих  одинаковую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юридическую силу, по одному для каждой из Сторон.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Получатель:                                               ГУ ТО «КЦСОН №2»:</w:t>
      </w:r>
    </w:p>
    <w:p>
      <w:pPr>
        <w:pStyle w:val="Normal"/>
        <w:suppressAutoHyphens w:val="false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cs="Courier New" w:ascii="Courier New" w:hAnsi="Courier New"/>
          <w:sz w:val="20"/>
          <w:szCs w:val="20"/>
          <w:lang w:eastAsia="ru-RU"/>
        </w:rPr>
        <w:t>______________/_________________/         ______________/_________________/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 6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Положению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пункте проката технических</w:t>
      </w:r>
    </w:p>
    <w:p>
      <w:pPr>
        <w:pStyle w:val="Normal"/>
        <w:suppressAutoHyphens w:val="false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 реабилитации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bookmarkStart w:id="10" w:name="Par601"/>
      <w:bookmarkEnd w:id="10"/>
      <w:r>
        <w:rPr>
          <w:rFonts w:cs="Arial" w:ascii="Arial" w:hAnsi="Arial"/>
          <w:b/>
          <w:bCs/>
          <w:sz w:val="24"/>
          <w:szCs w:val="24"/>
          <w:lang w:eastAsia="ru-RU"/>
        </w:rPr>
        <w:t>Методика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расчета суточного тарифа услуги, оказываемой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пунктами проката технических средств реабилитации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отдельным категориям граждан во временное пользование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outlineLvl w:val="2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1. Общие положения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1.1. Настоящая методика расчета суточного тарифа услуги, оказываемой пунктом проката технических средств реабилитации отдельным категориям граждан во временное пользование (далее - прокат ТСР, тариф), разработана в соответствии с приказом министерства труда и социальной защиты Тульской области от 04.08.2016 N 352-осн "Об утверждении Порядка ведения иной приносящей доход деятельности, осуществляемой в подведомственных министерству труда и социальной защиты Тульской области учреждениях", </w:t>
      </w:r>
      <w:hyperlink r:id="rId10">
        <w:r>
          <w:rPr>
            <w:color w:val="0000FF"/>
            <w:sz w:val="24"/>
            <w:szCs w:val="24"/>
            <w:lang w:eastAsia="ru-RU"/>
          </w:rPr>
          <w:t>Методическими рекомендациями</w:t>
        </w:r>
      </w:hyperlink>
      <w:r>
        <w:rPr>
          <w:sz w:val="24"/>
          <w:szCs w:val="24"/>
          <w:lang w:eastAsia="ru-RU"/>
        </w:rPr>
        <w:t xml:space="preserve"> министерства экономики Российской Федерации по формированию и применению свободных цен и тарифов на продукцию, товары и услуги от 06.12.1995 N СИ-484/7-982.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Данная методика определяет порядок расчета суточного тарифа на услугу проката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Расчет суточного тарифа на услугу проката ТСР производится в рублях.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outlineLvl w:val="2"/>
        <w:rPr>
          <w:rFonts w:ascii="Arial" w:hAnsi="Arial" w:cs="Arial"/>
          <w:b/>
          <w:b/>
          <w:bCs/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2. Расчет стоимости тарифа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 Затраты, связанные с оказанием услуг по прокату ТСР, складываются из затрат на оплату труда с начислениями работника учреждения, непосредственно осуществляющего выдачу ТСР в прокат и получение ТСР обратно, стоимости ТСР с учетом срока полезного использования и затрат, связанных с содержанием ТСР, а также необходимой прибыли.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Расчет стоимости тарифа за один день проката ТСР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Тд = Зус. + П,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Тд - тариф за одни сутки проката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- затраты, связанные с оказанием услуг по прокату ТСР за одни сутки;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- прибыль.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Затраты, связанные с оказанием услуг по прокату ТСР за одни сутки,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= Зотп + Зст. + Зсод.,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Зус. - затраты, связанные с оказанием услуги по прокату ТСР за одни сутки;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- затраты на оплату труда с начислениями работника учреждения, непосредственно осуществляющего выдачу ТСР в прокат и получение ТСР обратно;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- стоимость ТСР с учетом срока полезного использования;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- затраты, связанные с содержанием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 Затраты на оплату труда работника учреждения, непосредственно осуществляющего выдачу ТСР в прокат и получение ТСР обратно, в день с учетом периодичности услуг проката по конкретному ТСР и средней продолжительности оказания одной услуги выдачи ТСР в прокат и получение ТСР обратно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= Зсрот / Фрв / 60 мин. x Воу x Пок / Ккд,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Зотп - затраты на оплату труда с начислениями работника учреждения, непосредственно осуществляющего выдачу ТСР в прокат и получение ТСР обратно;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Зсрот - среднемесячный размер заработной платы с начислениями работника учреждения, непосредственно осуществляющего выдачу ТСР в прокат и получение ТСР обратно, за предыдущий год, определенный в соответствии с </w:t>
      </w:r>
      <w:hyperlink r:id="rId11">
        <w:r>
          <w:rPr>
            <w:color w:val="0000FF"/>
            <w:sz w:val="24"/>
            <w:szCs w:val="24"/>
            <w:lang w:eastAsia="ru-RU"/>
          </w:rPr>
          <w:t>Постановлением</w:t>
        </w:r>
      </w:hyperlink>
      <w:r>
        <w:rPr>
          <w:sz w:val="24"/>
          <w:szCs w:val="24"/>
          <w:lang w:eastAsia="ru-RU"/>
        </w:rPr>
        <w:t xml:space="preserve"> Правительства Российской Федерации от 24.12.2007 N 922 "Об особенностях порядка исчисления средней заработной платы", с учетом индексации в размерах, определенных соответствующим распоряжением правительства Тульской области;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Фрв - средняя норма рабочего времени в месяц;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Воу - время оказания услуги;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 - периодичность оказания услуги (выдача/прием) в год;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Ккд - количество календарных дней в году.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 Стоимость ТСР с учетом срока полезного использования в день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= СТтср / Српи,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Зст. - стоимость ТСР с учетом срока полезного использования в день;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СТтср - стоимость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Српи - срок полезного использования ТСР в соответствии с Общероссийским </w:t>
      </w:r>
      <w:hyperlink r:id="rId12">
        <w:r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>
        <w:rPr>
          <w:sz w:val="24"/>
          <w:szCs w:val="24"/>
          <w:lang w:eastAsia="ru-RU"/>
        </w:rPr>
        <w:t xml:space="preserve"> основных фондов (ОКОФ).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 Стоимость услуги по содержанию ТСР складывается из затрат на приобретение дезинфицирующих средств, расход воды и оплату труда работника учреждения, непосредственно осуществляющего проведение профилактической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Расчет стоимости услуги на содержание ТСР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= (Здс + Зкв + Зотк) / 365,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Зсод. - стоимость услуги по содержанию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- затраты на приобретение дезинфицирующих средств, из расчета цены и количества, необходимого для проведения профилактической дезинфекции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- затраты на объем воды, необходимый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- затраты на оплату труда с начислениями работника учреждения, непосредственно осуществляющего проведение профилактической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2.6. Затраты на приобретение дезинфицирующих средств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= Цдс x Кдс,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Здс - затраты на приобретение дезинфицирующих средств;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Ццс - цена 1 единицы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Кдс - количество дезинфицирующих средств, необходимых для приготовления рабочего раствора дезинфицирующего средства.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 Затраты на объем воды, необходимый для приготовления рабочего раствора дезинфицирующего средства, складываются из затрат на водоснабжение и водоотведение и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= (Цв x Кв) + (Цво x Кво),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Зкв - затраты на объем воды, необходимый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Цв - размер тарифа 1 л на водоснабжение по заключенному контракту с водоснабжающей организацией с учетом индекса роста цен;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 - количество воды, необходимое для приготовления рабочего раствора дезинфицирующего средства;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Цво - размер тарифа 1 м стоков по заключенному контракту с водоснабжающей организацией с учетом индекса роста цен;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Кво - количество раствора, оставшегося после дезинфекции ТСР.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2.8. Затраты на оплату труда работника учреждения, непосредственно осуществляющего проведение профилактической дезинфекции ТСР, с учетом периодичности услуг проката по конкретному ТСР и средней продолжительностью оказания одной услуги рассчитываются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= Зсрот / Фрв / 60 мин. x Воу x Пок / Ккд,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Зотк - затраты на оплату труда работника учреждения, непосредственно осуществляющего проведение профилактической дезинфекции ТСР;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/>
      </w:pPr>
      <w:r>
        <w:rPr>
          <w:sz w:val="24"/>
          <w:szCs w:val="24"/>
          <w:lang w:eastAsia="ru-RU"/>
        </w:rPr>
        <w:t xml:space="preserve">Зсрот - среднемесячный размер заработной платы с начислениями работника учреждения, непосредственно осуществляющего проведение профилактической дезинфекции ТСР, за предыдущий год в соответствии с </w:t>
      </w:r>
      <w:hyperlink r:id="rId13">
        <w:r>
          <w:rPr>
            <w:color w:val="0000FF"/>
            <w:sz w:val="24"/>
            <w:szCs w:val="24"/>
            <w:lang w:eastAsia="ru-RU"/>
          </w:rPr>
          <w:t>Постановлением</w:t>
        </w:r>
      </w:hyperlink>
      <w:r>
        <w:rPr>
          <w:sz w:val="24"/>
          <w:szCs w:val="24"/>
          <w:lang w:eastAsia="ru-RU"/>
        </w:rPr>
        <w:t xml:space="preserve"> Правительства Российской Федерации от 24.12.2007 N 922 "Об особенностях порядка исчисления средней заработной платы" с учетом индексации в размерах, определенных соответствующим распоряжением правительства Тульской области;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Фрв - средняя норма рабочего времени в месяц;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Воу - время оказания услуги;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 - периодичность оказания услуги (выдача/прием) в год;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Ккд - количество календарных дней в году.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2.9. Прибыль рассчитывается по формуле: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= Зус x 10%,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где: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 - прибыль;</w:t>
      </w:r>
    </w:p>
    <w:p>
      <w:pPr>
        <w:pStyle w:val="Normal"/>
        <w:suppressAutoHyphens w:val="false"/>
        <w:spacing w:before="240" w:after="0"/>
        <w:ind w:left="0" w:right="0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Зус - затраты, связанные с оказанием услуг по прокату ТСР за одни сутки.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23" w:leader="none"/>
        </w:tabs>
        <w:spacing w:lineRule="auto" w:line="276"/>
        <w:jc w:val="both"/>
        <w:rPr/>
      </w:pPr>
      <w:r>
        <w:rPr/>
      </w:r>
    </w:p>
    <w:sectPr>
      <w:footerReference w:type="default" r:id="rId14"/>
      <w:type w:val="nextPage"/>
      <w:pgSz w:w="11906" w:h="16838"/>
      <w:pgMar w:left="1600" w:right="720" w:header="0" w:top="1060" w:footer="0" w:bottom="709" w:gutter="0"/>
      <w:pgNumType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AstraSerif-Regular">
    <w:charset w:val="cc"/>
    <w:family w:val="roman"/>
    <w:pitch w:val="variable"/>
  </w:font>
  <w:font w:name="PTAstraSerif-Bold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01" w:hanging="8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788"/>
        </w:tabs>
        <w:ind w:left="889" w:hanging="889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6" w:hanging="88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88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3" w:hanging="88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2" w:hanging="88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88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39" w:hanging="88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87" w:hanging="889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48" w:hanging="360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7" w:hanging="457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20" w:hanging="45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40" w:hanging="4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32" w:hanging="45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4" w:hanging="4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6" w:hanging="4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8" w:hanging="4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0" w:hanging="45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326" w:right="0" w:hanging="0"/>
      <w:outlineLvl w:val="0"/>
    </w:pPr>
    <w:rPr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  <w:lang w:val="ru-RU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lang w:val="ru-RU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Fontstyle01">
    <w:name w:val="fontstyle01"/>
    <w:basedOn w:val="DefaultParagraphFont"/>
    <w:qFormat/>
    <w:rPr>
      <w:rFonts w:ascii="PTAstraSerif-Regular" w:hAnsi="PTAstraSerif-Regular"/>
      <w:b w:val="false"/>
      <w:bCs w:val="false"/>
      <w:i w:val="false"/>
      <w:iCs w:val="false"/>
      <w:color w:val="000000"/>
      <w:sz w:val="26"/>
      <w:szCs w:val="26"/>
    </w:rPr>
  </w:style>
  <w:style w:type="character" w:styleId="Fontstyle21">
    <w:name w:val="fontstyle21"/>
    <w:basedOn w:val="DefaultParagraphFont"/>
    <w:qFormat/>
    <w:rPr>
      <w:rFonts w:ascii="PTAstraSerif-Bold" w:hAnsi="PTAstraSerif-Bold"/>
      <w:b/>
      <w:bCs/>
      <w:i w:val="false"/>
      <w:iCs w:val="false"/>
      <w:color w:val="000000"/>
      <w:sz w:val="26"/>
      <w:szCs w:val="26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/>
      <w:sz w:val="26"/>
      <w:szCs w:val="2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Times New Roman" w:hAnsi="Times New Roman" w:eastAsia="Times New Roman" w:cs="Times New Roman"/>
      <w:b w:val="false"/>
      <w:bCs w:val="false"/>
      <w:w w:val="100"/>
      <w:sz w:val="24"/>
      <w:szCs w:val="24"/>
      <w:lang w:val="ru-RU" w:eastAsia="en-US" w:bidi="ar-SA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WW8Num2z1">
    <w:name w:val="WW8Num2z1"/>
    <w:qFormat/>
    <w:rPr>
      <w:rFonts w:ascii="Times New Roman" w:hAnsi="Times New Roman" w:eastAsia="Times New Roman" w:cs="Times New Roman"/>
      <w:w w:val="100"/>
      <w:sz w:val="24"/>
      <w:szCs w:val="24"/>
      <w:lang w:val="ru-RU" w:eastAsia="en-US" w:bidi="ar-SA"/>
    </w:rPr>
  </w:style>
  <w:style w:type="character" w:styleId="WW8Num2z0">
    <w:name w:val="WW8Num2z0"/>
    <w:qFormat/>
    <w:rPr>
      <w:lang w:val="ru-RU" w:eastAsia="en-US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ind w:left="101" w:right="125" w:hanging="0"/>
      <w:jc w:val="both"/>
    </w:pPr>
    <w:rPr>
      <w:sz w:val="26"/>
      <w:szCs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101" w:right="125" w:hanging="0"/>
      <w:jc w:val="both"/>
    </w:pPr>
    <w:rPr/>
  </w:style>
  <w:style w:type="paragraph" w:styleId="TableParagraph">
    <w:name w:val="Table Paragraph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Style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/>
    <w:rPr>
      <w:sz w:val="24"/>
      <w:szCs w:val="24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right="0" w:hanging="0"/>
    </w:pPr>
    <w:rPr/>
  </w:style>
  <w:style w:type="paragraph" w:styleId="Style27">
    <w:name w:val="Subtitle"/>
    <w:basedOn w:val="Normal"/>
    <w:next w:val="Normal"/>
    <w:qFormat/>
    <w:pPr/>
    <w:rPr>
      <w:rFonts w:ascii="Cambria" w:hAnsi="Cambria" w:eastAsia="F" w:cs="F"/>
      <w:i/>
      <w:iCs/>
      <w:color w:val="4F81BD"/>
      <w:spacing w:val="15"/>
    </w:rPr>
  </w:style>
  <w:style w:type="paragraph" w:styleId="11">
    <w:name w:val="Обычная таблиц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en-US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0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0" w:cs="Arial"/>
      <w:color w:val="auto"/>
      <w:kern w:val="0"/>
      <w:sz w:val="20"/>
      <w:szCs w:val="20"/>
      <w:lang w:val="ru-RU" w:eastAsia="ru-RU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22875&amp;date=17.04.2023" TargetMode="External"/><Relationship Id="rId3" Type="http://schemas.openxmlformats.org/officeDocument/2006/relationships/hyperlink" Target="mailto:tcso.aleksin@tularegion.ru" TargetMode="External"/><Relationship Id="rId4" Type="http://schemas.openxmlformats.org/officeDocument/2006/relationships/hyperlink" Target="mailto:tcso.aleksin@tularegion.ru" TargetMode="External"/><Relationship Id="rId5" Type="http://schemas.openxmlformats.org/officeDocument/2006/relationships/hyperlink" Target="mailto:tcso.aleksin@tularegion.ru" TargetMode="External"/><Relationship Id="rId6" Type="http://schemas.openxmlformats.org/officeDocument/2006/relationships/hyperlink" Target="mailto:tcso.aleksin@tularegion.ru" TargetMode="External"/><Relationship Id="rId7" Type="http://schemas.openxmlformats.org/officeDocument/2006/relationships/hyperlink" Target="mailto:tcso.aleksin@tularegion.ru" TargetMode="External"/><Relationship Id="rId8" Type="http://schemas.openxmlformats.org/officeDocument/2006/relationships/hyperlink" Target="mailto:tcso.aleksin@tularegion.ru" TargetMode="External"/><Relationship Id="rId9" Type="http://schemas.openxmlformats.org/officeDocument/2006/relationships/hyperlink" Target="mailto:tcso.aleksin@tularegion.ru" TargetMode="External"/><Relationship Id="rId10" Type="http://schemas.openxmlformats.org/officeDocument/2006/relationships/hyperlink" Target="https://login.consultant.ru/link/?req=doc&amp;base=LAW&amp;n=9299&amp;date=17.04.2023&amp;dst=100008&amp;field=134" TargetMode="External"/><Relationship Id="rId11" Type="http://schemas.openxmlformats.org/officeDocument/2006/relationships/hyperlink" Target="https://login.consultant.ru/link/?req=doc&amp;base=LAW&amp;n=208761&amp;date=17.04.2023" TargetMode="External"/><Relationship Id="rId12" Type="http://schemas.openxmlformats.org/officeDocument/2006/relationships/hyperlink" Target="https://login.consultant.ru/link/?req=doc&amp;base=LAW&amp;n=438456&amp;date=17.04.2023" TargetMode="External"/><Relationship Id="rId13" Type="http://schemas.openxmlformats.org/officeDocument/2006/relationships/hyperlink" Target="https://login.consultant.ru/link/?req=doc&amp;base=LAW&amp;n=208761&amp;date=17.04.2023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Application>LibreOffice/7.0.1.2$Windows_X86_64 LibreOffice_project/7cbcfc562f6eb6708b5ff7d7397325de9e764452</Application>
  <Pages>20</Pages>
  <Words>4275</Words>
  <Characters>31207</Characters>
  <CharactersWithSpaces>38663</CharactersWithSpaces>
  <Paragraphs>507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EddVP</dc:creator>
  <dc:description/>
  <dc:language>ru-RU</dc:language>
  <cp:lastModifiedBy/>
  <cp:lastPrinted>2024-02-21T15:54:16Z</cp:lastPrinted>
  <dcterms:modified xsi:type="dcterms:W3CDTF">2024-08-02T16:34:33Z</dcterms:modified>
  <cp:revision>33</cp:revision>
  <dc:subject/>
  <dc:title>Microsoft Word - polojps2022.docx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2022-06-01T00:00:00Z</vt:filetime>
  </property>
  <property fmtid="{D5CDD505-2E9C-101B-9397-08002B2CF9AE}" pid="4" name="Creator">
    <vt:lpwstr>PScript5.dll Version 5.2.2</vt:lpwstr>
  </property>
  <property fmtid="{D5CDD505-2E9C-101B-9397-08002B2CF9AE}" pid="5" name="LastSaved">
    <vt:filetime>2023-04-10T00:00:00Z</vt:filetime>
  </property>
</Properties>
</file>