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numPr>
          <w:ilvl w:val="0"/>
          <w:numId w:val="0"/>
        </w:numPr>
        <w:suppressAutoHyphens w:val="false"/>
        <w:spacing w:before="40" w:after="0"/>
        <w:ind w:left="0" w:right="0" w:hanging="0"/>
        <w:jc w:val="right"/>
        <w:outlineLvl w:val="0"/>
        <w:rPr>
          <w:color w:val="000000"/>
          <w:kern w:val="2"/>
          <w:sz w:val="20"/>
          <w:szCs w:val="20"/>
          <w:shd w:fill="auto" w:val="clear"/>
          <w:lang w:eastAsia="ru-RU"/>
        </w:rPr>
      </w:pPr>
      <w:r>
        <w:rPr>
          <w:color w:val="000000"/>
          <w:kern w:val="2"/>
          <w:sz w:val="20"/>
          <w:szCs w:val="20"/>
          <w:shd w:fill="auto" w:val="clear"/>
          <w:lang w:eastAsia="ru-RU"/>
        </w:rPr>
        <w:t>Приложение 1</w:t>
      </w:r>
    </w:p>
    <w:p>
      <w:pPr>
        <w:pStyle w:val="Normal"/>
        <w:widowControl/>
        <w:numPr>
          <w:ilvl w:val="0"/>
          <w:numId w:val="0"/>
        </w:numPr>
        <w:suppressAutoHyphens w:val="false"/>
        <w:spacing w:before="40" w:after="0"/>
        <w:ind w:left="0" w:right="0" w:hanging="0"/>
        <w:jc w:val="right"/>
        <w:outlineLvl w:val="0"/>
        <w:rPr>
          <w:color w:val="000000"/>
          <w:kern w:val="2"/>
          <w:sz w:val="20"/>
          <w:szCs w:val="20"/>
          <w:shd w:fill="auto" w:val="clear"/>
          <w:lang w:eastAsia="ru-RU"/>
        </w:rPr>
      </w:pPr>
      <w:r>
        <w:rPr>
          <w:color w:val="000000"/>
          <w:kern w:val="2"/>
          <w:sz w:val="20"/>
          <w:szCs w:val="20"/>
          <w:shd w:fill="auto" w:val="clear"/>
          <w:lang w:eastAsia="ru-RU"/>
        </w:rPr>
        <w:t>УТВЕРЖДЕНО</w:t>
      </w:r>
    </w:p>
    <w:p>
      <w:pPr>
        <w:pStyle w:val="Normal"/>
        <w:widowControl/>
        <w:numPr>
          <w:ilvl w:val="0"/>
          <w:numId w:val="0"/>
        </w:numPr>
        <w:suppressAutoHyphens w:val="false"/>
        <w:spacing w:before="40" w:after="0"/>
        <w:ind w:left="0" w:right="0" w:hanging="0"/>
        <w:jc w:val="right"/>
        <w:outlineLvl w:val="0"/>
        <w:rPr>
          <w:color w:val="000000"/>
          <w:kern w:val="2"/>
          <w:sz w:val="20"/>
          <w:szCs w:val="20"/>
          <w:shd w:fill="auto" w:val="clear"/>
          <w:lang w:eastAsia="ru-RU"/>
        </w:rPr>
      </w:pPr>
      <w:r>
        <w:rPr>
          <w:color w:val="000000"/>
          <w:kern w:val="2"/>
          <w:sz w:val="20"/>
          <w:szCs w:val="20"/>
          <w:shd w:fill="auto" w:val="clear"/>
          <w:lang w:eastAsia="ru-RU"/>
        </w:rPr>
        <w:t>приказом ГУ ТО «КЦСОН №2»</w:t>
      </w:r>
    </w:p>
    <w:p>
      <w:pPr>
        <w:pStyle w:val="Normal"/>
        <w:widowControl/>
        <w:numPr>
          <w:ilvl w:val="0"/>
          <w:numId w:val="0"/>
        </w:numPr>
        <w:suppressAutoHyphens w:val="false"/>
        <w:spacing w:before="40" w:after="0"/>
        <w:ind w:left="0" w:right="0" w:hanging="0"/>
        <w:jc w:val="right"/>
        <w:outlineLvl w:val="0"/>
        <w:rPr>
          <w:color w:val="000000"/>
          <w:kern w:val="2"/>
          <w:sz w:val="20"/>
          <w:szCs w:val="20"/>
          <w:shd w:fill="auto" w:val="clear"/>
          <w:lang w:eastAsia="ru-RU"/>
        </w:rPr>
      </w:pPr>
      <w:r>
        <w:rPr>
          <w:color w:val="000000"/>
          <w:kern w:val="2"/>
          <w:sz w:val="20"/>
          <w:szCs w:val="20"/>
          <w:shd w:fill="auto" w:val="clear"/>
          <w:lang w:eastAsia="ru-RU"/>
        </w:rPr>
        <w:t>от «19» февраля 2024 г. № 30-ахд</w:t>
      </w:r>
    </w:p>
    <w:p>
      <w:pPr>
        <w:pStyle w:val="Normal"/>
        <w:widowControl/>
        <w:numPr>
          <w:ilvl w:val="0"/>
          <w:numId w:val="0"/>
        </w:numPr>
        <w:suppressAutoHyphens w:val="false"/>
        <w:spacing w:before="40" w:after="0"/>
        <w:ind w:left="0" w:right="0" w:hanging="0"/>
        <w:jc w:val="right"/>
        <w:outlineLvl w:val="0"/>
        <w:rPr>
          <w:color w:val="000000"/>
          <w:kern w:val="2"/>
          <w:sz w:val="20"/>
          <w:szCs w:val="20"/>
          <w:shd w:fill="FFFF00" w:val="clear"/>
          <w:lang w:eastAsia="ru-RU"/>
        </w:rPr>
      </w:pPr>
      <w:r>
        <w:rPr>
          <w:color w:val="000000"/>
          <w:kern w:val="2"/>
          <w:sz w:val="20"/>
          <w:szCs w:val="20"/>
          <w:shd w:fill="FFFF00" w:val="clear"/>
          <w:lang w:eastAsia="ru-RU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spacing w:before="40" w:after="0"/>
        <w:ind w:left="0" w:right="0" w:hanging="0"/>
        <w:jc w:val="right"/>
        <w:outlineLvl w:val="0"/>
        <w:rPr>
          <w:color w:val="000000"/>
          <w:kern w:val="2"/>
          <w:sz w:val="20"/>
          <w:szCs w:val="20"/>
          <w:shd w:fill="FFFF00" w:val="clear"/>
          <w:lang w:eastAsia="ru-RU"/>
        </w:rPr>
      </w:pPr>
      <w:r>
        <w:rPr>
          <w:color w:val="000000"/>
          <w:kern w:val="2"/>
          <w:sz w:val="20"/>
          <w:szCs w:val="20"/>
          <w:shd w:fill="FFFF00" w:val="clear"/>
          <w:lang w:eastAsia="ru-RU"/>
        </w:rPr>
      </w:r>
    </w:p>
    <w:p>
      <w:pPr>
        <w:pStyle w:val="1"/>
        <w:ind w:left="0" w:right="349" w:hanging="0"/>
        <w:jc w:val="center"/>
        <w:rPr>
          <w:color w:val="000000"/>
          <w:kern w:val="2"/>
          <w:sz w:val="28"/>
          <w:szCs w:val="28"/>
          <w:lang w:eastAsia="ru-RU"/>
        </w:rPr>
      </w:pPr>
      <w:r>
        <w:rPr>
          <w:color w:val="000000"/>
          <w:kern w:val="2"/>
          <w:sz w:val="28"/>
          <w:szCs w:val="28"/>
          <w:lang w:eastAsia="ru-RU"/>
        </w:rPr>
        <w:t>Положение</w:t>
      </w:r>
    </w:p>
    <w:p>
      <w:pPr>
        <w:pStyle w:val="1"/>
        <w:ind w:left="0" w:right="349" w:hanging="0"/>
        <w:jc w:val="center"/>
        <w:rPr>
          <w:color w:val="000000"/>
          <w:kern w:val="2"/>
          <w:sz w:val="28"/>
          <w:szCs w:val="28"/>
          <w:lang w:eastAsia="ru-RU"/>
        </w:rPr>
      </w:pPr>
      <w:r>
        <w:rPr>
          <w:color w:val="000000"/>
          <w:kern w:val="2"/>
          <w:sz w:val="28"/>
          <w:szCs w:val="28"/>
          <w:lang w:eastAsia="ru-RU"/>
        </w:rPr>
        <w:t>о «Пункте проката технических средств реабилитации»</w:t>
      </w:r>
    </w:p>
    <w:p>
      <w:pPr>
        <w:pStyle w:val="1"/>
        <w:ind w:left="0" w:right="348" w:hanging="0"/>
        <w:jc w:val="center"/>
        <w:rPr/>
      </w:pPr>
      <w:r>
        <w:rPr>
          <w:sz w:val="28"/>
          <w:szCs w:val="28"/>
        </w:rPr>
        <w:t>государственного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Тульской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>
      <w:pPr>
        <w:pStyle w:val="Normal"/>
        <w:ind w:left="0" w:right="898" w:hanging="0"/>
        <w:jc w:val="center"/>
        <w:rPr/>
      </w:pPr>
      <w:r>
        <w:rPr>
          <w:b/>
          <w:sz w:val="28"/>
          <w:szCs w:val="28"/>
        </w:rPr>
        <w:t>«Комплексный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центр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социального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обслуживания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населения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2»</w:t>
      </w:r>
    </w:p>
    <w:p>
      <w:pPr>
        <w:pStyle w:val="Style18"/>
        <w:ind w:left="0" w:right="0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numPr>
          <w:ilvl w:val="0"/>
          <w:numId w:val="3"/>
        </w:numPr>
        <w:tabs>
          <w:tab w:val="clear" w:pos="720"/>
          <w:tab w:val="left" w:pos="4049" w:leader="none"/>
        </w:tabs>
        <w:spacing w:lineRule="auto" w:line="276"/>
        <w:ind w:left="4048" w:right="0" w:hanging="361"/>
        <w:jc w:val="both"/>
        <w:rPr/>
      </w:pPr>
      <w:r>
        <w:rPr>
          <w:sz w:val="28"/>
          <w:szCs w:val="28"/>
        </w:rPr>
        <w:t>Общие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>
      <w:pPr>
        <w:pStyle w:val="Style18"/>
        <w:spacing w:lineRule="auto" w:line="276" w:before="9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67" w:leader="none"/>
        </w:tabs>
        <w:spacing w:lineRule="auto" w:line="276"/>
        <w:ind w:left="0" w:right="115" w:hanging="0"/>
        <w:rPr/>
      </w:pPr>
      <w:r>
        <w:rPr>
          <w:sz w:val="28"/>
          <w:szCs w:val="28"/>
        </w:rPr>
        <w:t>Настоящее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регулирует порядок работы пункта проката технических средств реабилитации (далее – Пункт проката) в целях временного обеспечения техническими средствами реабилитации (далее - ТСР) отдельных категорий граждан, проживающих на территории Алексинского, Заокского и Ясногорского районов Тульской области, а также лиц, вынужденно покинувших территории Украины, Луганской и Донецкой Народных Республик, функционирующий на базе государственного учреждения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Тульской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области «Комплексный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центр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№2»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Комплексный центр; Учреждение).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71" w:leader="none"/>
        </w:tabs>
        <w:spacing w:lineRule="auto" w:line="276" w:before="1" w:after="0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Руководство деятельностью и предоставление услуги возлагается на отделение приема граждан и предоставления срочных социальных услуг Комплексного центра (далее- Отделение).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671" w:leader="none"/>
        </w:tabs>
        <w:spacing w:lineRule="auto" w:line="276" w:before="1" w:after="0"/>
        <w:ind w:left="0" w:right="125" w:hanging="0"/>
        <w:jc w:val="both"/>
        <w:rPr/>
      </w:pPr>
      <w:r>
        <w:rPr>
          <w:sz w:val="28"/>
          <w:szCs w:val="28"/>
        </w:rPr>
        <w:t>Место нахождения отделения для обращения граждан: Тульская область, город Алексин, ул. Героев-Алексинцев, д.25. Контактный телефон: 8 (48753) 49290, адрес электронной почты:</w:t>
      </w:r>
      <w:r>
        <w:rPr/>
        <w:t xml:space="preserve"> </w:t>
      </w:r>
      <w:r>
        <w:rPr>
          <w:sz w:val="28"/>
          <w:szCs w:val="28"/>
        </w:rPr>
        <w:t>tcso.aleksin@tularegion.ru.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71" w:leader="none"/>
        </w:tabs>
        <w:spacing w:lineRule="auto" w:line="276" w:before="1" w:after="0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Деятельность Пункта проката является иной приносящей доход деятельностью Учреждения.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71" w:leader="none"/>
        </w:tabs>
        <w:spacing w:lineRule="auto" w:line="276" w:before="1" w:after="0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Учреждение в своей деятельности по организации работы Пункта проката руководствуется Конституцией Российской Федерации, законами, указами и распоряжениями Правительства Российской Федерации, Федеральными законами, законами Тульской области, Указами Президента РФ, постановлениями Правительства РФ, нормативными правовыми актами Губернатора Тульской области, Правительства Тульской области, министерства труда и социальной защиты населения Тульской области, приказами Комплексного центра, Уставом Комплексного центра, настоящим Положением.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628" w:leader="none"/>
        </w:tabs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Услуги по временному обеспечению ТСР предоставляются гражданам, нуждающимся в ТСР по медицинским показаниям.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628" w:leader="none"/>
        </w:tabs>
        <w:spacing w:lineRule="auto" w:line="276"/>
        <w:ind w:left="889" w:right="125" w:hanging="889"/>
        <w:rPr>
          <w:sz w:val="28"/>
          <w:szCs w:val="28"/>
        </w:rPr>
      </w:pPr>
      <w:r>
        <w:rPr>
          <w:sz w:val="28"/>
          <w:szCs w:val="28"/>
        </w:rPr>
        <w:t>Право внеочередного пользования услугами Пункта проката имеют: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- инвалиды и участники Великой Отечественной войны;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- ветераны Великой Отечественной войны;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- лица, вынужденно покинувшие территории Украины, Луганской и Донецкой Народных Республик;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- члены семей мобилизованных граждан;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- граждане, признанные нуждающимися в социальном обслуживании, в том числе в социальных услуга по уходу.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1.8. Оснащение Пункта проката ТСР осуществляется за счет средств Учреждения.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1.9. Отношения между Учреждением и гражданином регулируются договором о предоставлении во временное пользование технических средств реабилитации (далее - Договор).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1.10. Договор заключается на срок до одного года (с последующим продлением в виде заключения аналогичного договора без ограничения количества пролонгаций).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1.11. По истечении срока, указанного в Договоре, техническое средство реабилитации возвращается гражданином в Пункт проката.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1.12. Сведения об обращении за ТСР , их выдаче и возврате вносятся и хранятся в ведомственной информационной системе, доступ к которой обеспечен в отделении приема граждан и предоставления срочных социальных услуг и территориальных координационных центрах в целях своевременного выявления граждан, нуждающихся в уходе, и обеспечения их ТСР.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/>
      </w:pPr>
      <w:r>
        <w:rPr>
          <w:sz w:val="28"/>
          <w:szCs w:val="28"/>
        </w:rPr>
        <w:t>1.13.</w:t>
      </w:r>
      <w:r>
        <w:rPr/>
        <w:t xml:space="preserve"> </w:t>
      </w:r>
      <w:r>
        <w:rPr>
          <w:sz w:val="28"/>
          <w:szCs w:val="28"/>
        </w:rPr>
        <w:t>Все споры и разногласия между заявителями Учреждением, если они не будут разрешены путем переговоров, подлежат разрешению в суде в установленном законодательством Российской Федерации порядке.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1.14. Учреждение обязано предоставлять информацию об услугах, оказываемых пунктом проката технических средств реабилитации отдельным категориям граждан во временное пользование.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1.15. Учреждение представляет в министерство труда и социальной защиты Тульской области ежеквартально до 5-го числа месяца, следующего за отчетным кварталом, информацию о предоставленных услугах Пунктом проката (приложение 1 к Положению).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3"/>
        </w:numPr>
        <w:tabs>
          <w:tab w:val="clear" w:pos="720"/>
          <w:tab w:val="left" w:pos="1701" w:leader="none"/>
        </w:tabs>
        <w:spacing w:lineRule="auto" w:line="276"/>
        <w:ind w:left="709" w:right="0" w:hanging="283"/>
        <w:jc w:val="center"/>
        <w:rPr/>
      </w:pPr>
      <w:r>
        <w:rPr>
          <w:sz w:val="28"/>
          <w:szCs w:val="28"/>
        </w:rPr>
        <w:t>Цели</w:t>
      </w:r>
      <w:r>
        <w:rPr>
          <w:spacing w:val="-5"/>
          <w:sz w:val="28"/>
          <w:szCs w:val="28"/>
        </w:rPr>
        <w:t xml:space="preserve"> и </w:t>
      </w:r>
      <w:r>
        <w:rPr>
          <w:sz w:val="28"/>
          <w:szCs w:val="28"/>
        </w:rPr>
        <w:t xml:space="preserve">задачи деятельности </w:t>
      </w:r>
    </w:p>
    <w:p>
      <w:pPr>
        <w:pStyle w:val="1"/>
        <w:tabs>
          <w:tab w:val="clear" w:pos="720"/>
          <w:tab w:val="left" w:pos="1701" w:leader="none"/>
        </w:tabs>
        <w:spacing w:lineRule="auto" w:line="276"/>
        <w:ind w:left="709" w:right="0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>
      <w:pPr>
        <w:pStyle w:val="1"/>
        <w:tabs>
          <w:tab w:val="clear" w:pos="720"/>
          <w:tab w:val="left" w:pos="203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2.1. Цель деятельности – временное обеспечение ТСР граждан, в том числе инвалидов (детей-инвалидов).</w:t>
      </w:r>
    </w:p>
    <w:p>
      <w:pPr>
        <w:pStyle w:val="1"/>
        <w:tabs>
          <w:tab w:val="clear" w:pos="720"/>
          <w:tab w:val="left" w:pos="203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2.2. Задачи деятельности:</w:t>
      </w:r>
    </w:p>
    <w:p>
      <w:pPr>
        <w:pStyle w:val="1"/>
        <w:tabs>
          <w:tab w:val="clear" w:pos="720"/>
          <w:tab w:val="left" w:pos="2037" w:leader="none"/>
        </w:tabs>
        <w:spacing w:lineRule="auto" w:line="276"/>
        <w:ind w:left="0" w:right="0" w:hanging="0"/>
        <w:jc w:val="both"/>
        <w:rPr/>
      </w:pPr>
      <w:r>
        <w:rPr>
          <w:b w:val="false"/>
          <w:sz w:val="28"/>
          <w:szCs w:val="28"/>
        </w:rPr>
        <w:t>- временно обеспечить инвалидов (детей-инвалидов) ТСР, рекомендованными индивидуальной программой реабилитации или абилитации инвалида (ребенка-инвалида), до момента получения необходимого ТСР в постоянное пользование в соответствии с законодательством;</w:t>
      </w:r>
    </w:p>
    <w:p>
      <w:pPr>
        <w:pStyle w:val="1"/>
        <w:tabs>
          <w:tab w:val="clear" w:pos="720"/>
          <w:tab w:val="left" w:pos="203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- временно обеспечить инвалидов (детей-инвалидов) ТСР на период ремонта или технического обслуживания ТСР, имеющегося в постоянном пользовании в соответствии с рекомендациями ИПРА;</w:t>
      </w:r>
    </w:p>
    <w:p>
      <w:pPr>
        <w:pStyle w:val="1"/>
        <w:tabs>
          <w:tab w:val="clear" w:pos="720"/>
          <w:tab w:val="left" w:pos="203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- временно обеспечить ТСР получателей на период восстановления после травм, профилактики и лечения заболеваний, в послеоперационный период, период проведения реабилитационных или абилитационных мероприятий;</w:t>
      </w:r>
    </w:p>
    <w:p>
      <w:pPr>
        <w:pStyle w:val="1"/>
        <w:tabs>
          <w:tab w:val="clear" w:pos="720"/>
          <w:tab w:val="left" w:pos="203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- создать условия для обучения получателей и лиц, представляющих интересы получателей, элементарным навыкам подбора и самостоятельного применения ТСР;</w:t>
      </w:r>
    </w:p>
    <w:p>
      <w:pPr>
        <w:pStyle w:val="1"/>
        <w:tabs>
          <w:tab w:val="clear" w:pos="720"/>
          <w:tab w:val="left" w:pos="203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- иные задачи, связанные с временным обеспечением получателей ТСР.</w:t>
      </w:r>
    </w:p>
    <w:p>
      <w:pPr>
        <w:pStyle w:val="1"/>
        <w:tabs>
          <w:tab w:val="clear" w:pos="720"/>
          <w:tab w:val="left" w:pos="203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1"/>
        <w:numPr>
          <w:ilvl w:val="0"/>
          <w:numId w:val="3"/>
        </w:numPr>
        <w:tabs>
          <w:tab w:val="clear" w:pos="720"/>
          <w:tab w:val="left" w:pos="1560" w:leader="none"/>
        </w:tabs>
        <w:spacing w:lineRule="auto" w:line="276" w:before="1" w:after="0"/>
        <w:ind w:left="2694" w:right="0" w:hanging="1559"/>
        <w:jc w:val="center"/>
        <w:rPr/>
      </w:pPr>
      <w:r>
        <w:rPr>
          <w:sz w:val="28"/>
          <w:szCs w:val="28"/>
        </w:rPr>
        <w:t>Организация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Пункта проката</w:t>
      </w:r>
    </w:p>
    <w:p>
      <w:pPr>
        <w:pStyle w:val="1"/>
        <w:tabs>
          <w:tab w:val="clear" w:pos="720"/>
          <w:tab w:val="left" w:pos="1560" w:leader="none"/>
        </w:tabs>
        <w:spacing w:lineRule="auto" w:line="276" w:before="1" w:after="0"/>
        <w:ind w:left="2694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76" w:before="9" w:after="0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3.1. Работа Пункта проката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человека, реализуется в соответствии со стандартами оказания социальных услуг.</w:t>
      </w:r>
    </w:p>
    <w:p>
      <w:pPr>
        <w:pStyle w:val="Style18"/>
        <w:spacing w:lineRule="auto" w:line="276" w:before="9" w:after="0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3.2. Деятельность работников осуществляется в строгом соответствии с принципами, установленными ст. 4 Федерального закона № 442-ФЗ от 28.12.2013г. «Об основах социального обслуживания граждан в Российской Федерации», а именно:</w:t>
      </w:r>
    </w:p>
    <w:p>
      <w:pPr>
        <w:pStyle w:val="Style18"/>
        <w:spacing w:lineRule="auto" w:line="276" w:before="9" w:after="0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-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>
      <w:pPr>
        <w:pStyle w:val="Style18"/>
        <w:spacing w:lineRule="auto" w:line="276" w:before="9" w:after="0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- адресность предоставления социальных услуг;</w:t>
      </w:r>
    </w:p>
    <w:p>
      <w:pPr>
        <w:pStyle w:val="Style18"/>
        <w:spacing w:lineRule="auto" w:line="276" w:before="9" w:after="0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-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>
      <w:pPr>
        <w:pStyle w:val="Style18"/>
        <w:spacing w:lineRule="auto" w:line="276" w:before="9" w:after="0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- сохранение пребывания гражданина в привычной благоприятной среде;</w:t>
      </w:r>
    </w:p>
    <w:p>
      <w:pPr>
        <w:pStyle w:val="Style18"/>
        <w:spacing w:lineRule="auto" w:line="276" w:before="9" w:after="0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- добровольность;</w:t>
      </w:r>
    </w:p>
    <w:p>
      <w:pPr>
        <w:pStyle w:val="Style18"/>
        <w:spacing w:lineRule="auto" w:line="276" w:before="9" w:after="0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- конфиденциальность.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3.3. Директор Учреждения создает условия для организации деятельности Пункта проката и выделяет помещение для хранения ТСР.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3.4. Директором Учреждения определяется материально ответственное лицо, с которым заключается договор о полной материальной ответственности по приему, хранению, выдаче ТСР.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3.5. Руководство работой Пункта проката осуществляется заведующим отделением приема граждан и предоставления срочных социальных услуг.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3.6. Сотрудники отделения приема граждан и предоставления срочных социальных услуг формируют номенклатуру ТСР, выдаваемых отдельным категориям граждан во временное пользование, в соответствии с обновлением материально технической базы.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3.7. Пункт проката может пополнять фонд технических средств реабилитации в том числе за счет приема у граждан исправных ТСР, бывших в употреблении. После приема и возврата ТСР в пункты проката они подлежат дезинфекции.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3.8. Учет ТСР, выданных гражданам, ведется в Журнале учета выданных ТСР (приложение 2 к Положению).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/>
      </w:pPr>
      <w:r>
        <w:rPr>
          <w:b w:val="false"/>
          <w:sz w:val="28"/>
          <w:szCs w:val="28"/>
        </w:rPr>
        <w:t xml:space="preserve">3.9. Информация о пункте проката подлежит размещению на информационных стендах в помещениях учреждения, медицинских организаций, органов местного самоуправления (далее - </w:t>
      </w:r>
      <w:r>
        <w:rPr>
          <w:b w:val="false"/>
          <w:strike w:val="false"/>
          <w:dstrike w:val="false"/>
          <w:sz w:val="28"/>
          <w:szCs w:val="28"/>
        </w:rPr>
        <w:t>ОМСУ), Социального фонда России по Тульской области и иных организаций, а также сайтах учреждения, Министерства труда и социальной защиты Тульской области, ОМСУ; в средствах массовой информации, в том числе в информационно-телекоммуникационной сети «Интернет</w:t>
      </w:r>
      <w:r>
        <w:rPr>
          <w:b w:val="false"/>
          <w:strike w:val="false"/>
          <w:dstrike w:val="false"/>
          <w:sz w:val="28"/>
          <w:szCs w:val="28"/>
          <w:lang w:val="ru-RU"/>
        </w:rPr>
        <w:t>».</w:t>
      </w:r>
      <w:r>
        <w:rPr>
          <w:b w:val="false"/>
          <w:strike w:val="false"/>
          <w:dstrike w:val="false"/>
          <w:sz w:val="28"/>
          <w:szCs w:val="28"/>
        </w:rPr>
        <w:t xml:space="preserve"> 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>
          <w:b w:val="false"/>
          <w:b w:val="false"/>
          <w:strike w:val="false"/>
          <w:dstrike w:val="false"/>
          <w:sz w:val="28"/>
          <w:szCs w:val="28"/>
        </w:rPr>
      </w:pPr>
      <w:r>
        <w:rPr>
          <w:b w:val="false"/>
          <w:strike w:val="false"/>
          <w:dstrike w:val="false"/>
          <w:sz w:val="28"/>
          <w:szCs w:val="28"/>
        </w:rPr>
        <w:t xml:space="preserve">3.10. Мониторинг обеспеченности пункта проката ТСР осуществляется территориальными координационными центрами. 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предоставления ТСР</w:t>
      </w:r>
    </w:p>
    <w:p>
      <w:pPr>
        <w:pStyle w:val="Style18"/>
        <w:spacing w:lineRule="auto" w:line="276" w:before="10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4.1. Предоставление технических средств реабилитации во временное пользование осуществляется на основании заявления поданного гражданином, его законным представителем или гражданином, осуществляющим уход за гражданином, нуждающимся в уходе, на основе родственных, соседских или дружеских связей (далее — лицо из ближайшего окружения)  (приложение 3 к Положению) в пункт проката ТСР или территориальный координационный центр, с которым взаимодействует пункт проката.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4.2 Учреждение заключает с гражданином, его законным представителем или лицом из ближайшего окружения договор о предоставлении ТСР во временное пользование (приложение 5 к Положению).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4.3. ТСР выдаются по предъявлении следующих документов: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- документа, удостоверяющего личность заявителя;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-страхового свидетельства обязательного пенсионного страхования, содержащего страховой номер индивидуального лицевого счета (СНИЛС);</w:t>
      </w:r>
    </w:p>
    <w:p>
      <w:pPr>
        <w:pStyle w:val="Style18"/>
        <w:spacing w:lineRule="auto" w:line="276"/>
        <w:ind w:left="101" w:right="113" w:hanging="0"/>
        <w:rPr/>
      </w:pPr>
      <w:r>
        <w:rPr>
          <w:sz w:val="28"/>
          <w:szCs w:val="28"/>
        </w:rPr>
        <w:t>-документа, подтверждающего регистрацию по месту жительства (пребывания) в Тульской области (если эти сведения не содержатся в документе, удостоверяющем личность);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-согласия на обработку персональных данных (приложение 4 к Положению).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В случае подачи документов законным представителем заявителя дополнительно предъявляется документ, подтверждающий полномочия законного представителя.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4.4. ТСР выдаются во временное пользование в исправном состоянии. Проверка исправности ТСР производится в присутствии заявителя.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4.5. Технические средства реабилитации подбираются с учетом индивидуальных особенностей заявителя. При выдаче ТСР заявителя знакомят с правилами эксплуатации и техники безопасности ТСР, в случае необходимости ему выдаются письменные инструкции о пользовании ТСР.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4.6. Предоставляя во временное пользование ТСР, Учреждение предупреждает заявителя об ответственности при повреждении и умышленной порче, утере выданного во временное пользование ТСР в соответствии с условиями Договора.</w:t>
      </w:r>
    </w:p>
    <w:p>
      <w:pPr>
        <w:pStyle w:val="Style18"/>
        <w:spacing w:lineRule="auto" w:line="276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4.7. Заявитель уведомляет Учреждение о возникшей неисправности ТСР в процессе эксплуатации.</w:t>
      </w:r>
    </w:p>
    <w:p>
      <w:pPr>
        <w:pStyle w:val="Style18"/>
        <w:spacing w:lineRule="auto" w:line="276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4.8. Выдача и возврат ТСР осуществляются согласно акту приема-передачи.</w:t>
      </w:r>
    </w:p>
    <w:p>
      <w:pPr>
        <w:pStyle w:val="Style18"/>
        <w:spacing w:lineRule="auto" w:line="276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4.9. При отсутствии у гражданина, нуждающегося в уходе, его законного представителя или лица из его ближайшего окружения возможности самостоятельно получить или вернуть ТСР могут осуществляться услуги по доставке ТСР до места жительства или места пребывания гражданина, нуждающегося в уходе, и обратно, их заносу-выносу, сборке-разборке и установке.</w:t>
      </w:r>
    </w:p>
    <w:p>
      <w:pPr>
        <w:pStyle w:val="Style18"/>
        <w:spacing w:lineRule="auto" w:line="276"/>
        <w:ind w:left="0" w:right="113" w:hanging="0"/>
        <w:rPr>
          <w:sz w:val="28"/>
        </w:rPr>
      </w:pPr>
      <w:r>
        <w:rPr>
          <w:sz w:val="28"/>
        </w:rPr>
      </w:r>
    </w:p>
    <w:p>
      <w:pPr>
        <w:pStyle w:val="Style18"/>
        <w:spacing w:lineRule="auto" w:line="276"/>
        <w:rPr>
          <w:sz w:val="28"/>
        </w:rPr>
      </w:pPr>
      <w:r>
        <w:rPr>
          <w:sz w:val="28"/>
        </w:rPr>
      </w:r>
    </w:p>
    <w:p>
      <w:pPr>
        <w:pStyle w:val="Style18"/>
        <w:spacing w:lineRule="auto" w:line="276"/>
        <w:jc w:val="center"/>
        <w:rPr>
          <w:b/>
          <w:b/>
          <w:sz w:val="28"/>
        </w:rPr>
      </w:pPr>
      <w:r>
        <w:rPr>
          <w:b/>
          <w:sz w:val="28"/>
        </w:rPr>
        <w:t xml:space="preserve">5. Порядок оплаты услуг Пункта проката </w:t>
      </w:r>
    </w:p>
    <w:p>
      <w:pPr>
        <w:pStyle w:val="Style18"/>
        <w:spacing w:lineRule="auto" w:line="276"/>
        <w:rPr>
          <w:sz w:val="28"/>
        </w:rPr>
      </w:pPr>
      <w:r>
        <w:rPr>
          <w:sz w:val="28"/>
        </w:rPr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5.1. Пункт проката предоставляет заявителю во временное пользование ТСР за плату в соответствии с утвержденными Учреждением тарифами.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5.2. Услуги пункта проката предоставляются бесплатно: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- детям, в том числе детям-инвалидам;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- инвалидам;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- ветеранам Великой Отечественной войны;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- лицам, вынужденно покинувшим территории Украины, Луганской и Донецкой Народных Республик;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- членам семей мобилизованных граждан;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- гражданам нуждающимся в уходе.</w:t>
      </w:r>
    </w:p>
    <w:p>
      <w:pPr>
        <w:pStyle w:val="Style18"/>
        <w:spacing w:lineRule="auto" w:line="276"/>
        <w:ind w:left="0" w:right="125" w:hanging="0"/>
        <w:rPr/>
      </w:pPr>
      <w:r>
        <w:rPr>
          <w:sz w:val="28"/>
          <w:szCs w:val="28"/>
        </w:rPr>
        <w:t>5.3. Тариф рассчитывается в соответствии с методикой расчета суточного тарифа услуги, оказываемой пунктами проката ТСР отдельным категориям граждан во временное пользование (приложение 6 к Положению).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5.4. Тариф на услугу утверждается учреждением один раз в год не позднее 15 декабря и применяется с 1 января года, следующего за отчетным.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5.5. При получении ТСР заявитель вносит стоимость, предусмотренную Договором.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5.6. При возврате заявителем ТСР ранее срока, указанного в Договоре, Учреждение производит перерасчет за пользование ТСР по фактическому сроку проката. Число дней пользования ТСР исчисляется в календарных днях.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5.7. Если день возврата ТСР совпадает с выходным днем Учреждения, то ТСР должно быть возвращено в следующий за ним рабочий день.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5.8. Заявитель обязан вернуть ТСР в технически исправном состоянии и в срок, определенный Договором.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5.9. В случае утраты ТСР заявитель обязан возместить его оценочную стоимость.</w:t>
      </w:r>
    </w:p>
    <w:p>
      <w:pPr>
        <w:pStyle w:val="Style18"/>
        <w:spacing w:lineRule="auto" w:line="276" w:before="3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8"/>
        <w:spacing w:lineRule="auto" w:line="276" w:before="3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Ведение учета технических средств реабилитации</w:t>
      </w:r>
    </w:p>
    <w:p>
      <w:pPr>
        <w:pStyle w:val="Style18"/>
        <w:spacing w:lineRule="auto" w:line="276" w:before="3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пунктов проката в электронном виде</w:t>
      </w:r>
    </w:p>
    <w:p>
      <w:pPr>
        <w:pStyle w:val="Style18"/>
        <w:spacing w:lineRule="auto" w:line="276" w:before="3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8"/>
        <w:spacing w:lineRule="auto" w:line="276" w:before="3" w:after="0"/>
        <w:rPr>
          <w:sz w:val="28"/>
          <w:szCs w:val="28"/>
        </w:rPr>
      </w:pPr>
      <w:r>
        <w:rPr>
          <w:sz w:val="28"/>
          <w:szCs w:val="28"/>
        </w:rPr>
        <w:t>6.1. Учреждение ведут учет ТСР в пунктах проката в подсистеме "Технические средства реабилитации и путевки на санаторно-курортное лечение" (далее - подсистема) в программном комплексе "Адресная социальная помощь" (далее - АС "АСП").</w:t>
      </w:r>
    </w:p>
    <w:p>
      <w:pPr>
        <w:pStyle w:val="Style18"/>
        <w:spacing w:lineRule="auto" w:line="276" w:before="3" w:after="0"/>
        <w:rPr>
          <w:sz w:val="28"/>
          <w:szCs w:val="28"/>
        </w:rPr>
      </w:pPr>
      <w:r>
        <w:rPr>
          <w:sz w:val="28"/>
          <w:szCs w:val="28"/>
        </w:rPr>
        <w:t>6.2. Учреждение осуществляется наполнение складов пунктов проката ТСР в задаче "Журнал учета изделий, предоставляемых в прокат" подсистемы.</w:t>
      </w:r>
    </w:p>
    <w:p>
      <w:pPr>
        <w:pStyle w:val="Style18"/>
        <w:spacing w:lineRule="auto" w:line="276" w:before="3" w:after="0"/>
        <w:rPr>
          <w:sz w:val="28"/>
          <w:szCs w:val="28"/>
        </w:rPr>
      </w:pPr>
      <w:r>
        <w:rPr>
          <w:sz w:val="28"/>
          <w:szCs w:val="28"/>
        </w:rPr>
        <w:t>6.3. Заявки на предоставление услуги вносятся сотрудниками Учреждений в персональной карточке учета заявителя (далее - ПКУ) в течение 1 часа с момента их поступления.</w:t>
      </w:r>
    </w:p>
    <w:p>
      <w:pPr>
        <w:pStyle w:val="Style18"/>
        <w:spacing w:lineRule="auto" w:line="276" w:before="3" w:after="0"/>
        <w:rPr>
          <w:sz w:val="28"/>
          <w:szCs w:val="28"/>
        </w:rPr>
      </w:pPr>
      <w:r>
        <w:rPr>
          <w:sz w:val="28"/>
          <w:szCs w:val="28"/>
        </w:rPr>
        <w:t>6.4. В случае отсутствия ПКУ в АС "АСП" сотрудник Учреждения создает новую ПКУ и вносит заявку на предоставление услуги.</w:t>
      </w:r>
    </w:p>
    <w:p>
      <w:pPr>
        <w:pStyle w:val="Style18"/>
        <w:spacing w:lineRule="auto" w:line="276" w:before="3" w:after="0"/>
        <w:rPr>
          <w:sz w:val="28"/>
          <w:szCs w:val="28"/>
        </w:rPr>
      </w:pPr>
      <w:r>
        <w:rPr>
          <w:sz w:val="28"/>
          <w:szCs w:val="28"/>
        </w:rPr>
        <w:t>6.5. В случае отсутствия в пунктах проката Учреждения необходимого заявителю ТСР Учреждение в рамках соглашения о взаимодействии с государственным учреждением Тульской области "Тульский областной центр реабилитации инвалидов" (далее - ГУ ТО "ТОЦРИ") сообщает о необходимости перераспределения заявки.</w:t>
      </w:r>
    </w:p>
    <w:p>
      <w:pPr>
        <w:pStyle w:val="1"/>
        <w:tabs>
          <w:tab w:val="clear" w:pos="720"/>
          <w:tab w:val="left" w:pos="3382" w:leader="none"/>
        </w:tabs>
        <w:spacing w:lineRule="auto" w:line="276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tabs>
          <w:tab w:val="clear" w:pos="720"/>
          <w:tab w:val="left" w:pos="3382" w:leader="none"/>
        </w:tabs>
        <w:spacing w:lineRule="auto" w:line="276"/>
        <w:ind w:left="3381" w:right="0" w:hanging="0"/>
        <w:jc w:val="both"/>
        <w:rPr/>
      </w:pPr>
      <w:r>
        <w:rPr>
          <w:sz w:val="28"/>
          <w:szCs w:val="28"/>
        </w:rPr>
        <w:t>7. Заключительные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>
      <w:pPr>
        <w:pStyle w:val="Normal"/>
        <w:widowControl/>
        <w:suppressAutoHyphens w:val="false"/>
        <w:spacing w:lineRule="auto" w:line="276" w:before="280" w:after="0"/>
        <w:jc w:val="both"/>
        <w:rPr/>
      </w:pPr>
      <w:r>
        <w:rPr>
          <w:color w:val="000000"/>
          <w:sz w:val="28"/>
          <w:szCs w:val="28"/>
          <w:lang w:eastAsia="ru-RU"/>
        </w:rPr>
        <w:t>7.1. Настоящее</w:t>
      </w:r>
      <w:r>
        <w:rPr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Положение</w:t>
      </w:r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вступает</w:t>
      </w:r>
      <w:r>
        <w:rPr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силу</w:t>
      </w:r>
      <w:r>
        <w:rPr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момента</w:t>
      </w:r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его</w:t>
      </w:r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утверждения.</w:t>
      </w:r>
    </w:p>
    <w:p>
      <w:pPr>
        <w:pStyle w:val="Normal"/>
        <w:widowControl/>
        <w:suppressAutoHyphens w:val="false"/>
        <w:spacing w:lineRule="auto" w:line="276" w:before="45" w:after="0"/>
        <w:jc w:val="both"/>
        <w:rPr/>
      </w:pPr>
      <w:r>
        <w:rPr>
          <w:color w:val="000000"/>
          <w:sz w:val="28"/>
          <w:szCs w:val="28"/>
          <w:lang w:eastAsia="ru-RU"/>
        </w:rPr>
        <w:t>7.2. В</w:t>
      </w:r>
      <w:r>
        <w:rPr>
          <w:color w:val="000000"/>
          <w:spacing w:val="-4"/>
          <w:sz w:val="28"/>
          <w:szCs w:val="28"/>
          <w:lang w:eastAsia="ru-RU"/>
        </w:rPr>
        <w:t xml:space="preserve"> настоящее </w:t>
      </w:r>
      <w:r>
        <w:rPr>
          <w:color w:val="000000"/>
          <w:sz w:val="28"/>
          <w:szCs w:val="28"/>
          <w:lang w:eastAsia="ru-RU"/>
        </w:rPr>
        <w:t>Положение</w:t>
      </w:r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могут</w:t>
      </w:r>
      <w:r>
        <w:rPr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быть</w:t>
      </w:r>
      <w:r>
        <w:rPr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внесены</w:t>
      </w:r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изменения, путем издания соответствующего приказа, подписанного директором Комплексного центра.</w:t>
      </w:r>
    </w:p>
    <w:p>
      <w:pPr>
        <w:pStyle w:val="Normal"/>
        <w:widowControl/>
        <w:suppressAutoHyphens w:val="false"/>
        <w:spacing w:lineRule="auto" w:line="276" w:before="45" w:after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1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Положению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пункте проката технических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средств реабилитации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bookmarkStart w:id="2" w:name="Par141"/>
      <w:bookmarkEnd w:id="2"/>
      <w:r>
        <w:rPr>
          <w:sz w:val="24"/>
          <w:szCs w:val="24"/>
          <w:lang w:eastAsia="ru-RU"/>
        </w:rPr>
        <w:t>Информация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государственного учреждения Тульской области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«Комплексный центр социального обслуживания населения №2»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предоставленных пунктом проката технических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средств реабилитации услугах за _____ квартал 20 ___ года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tbl>
      <w:tblPr>
        <w:tblW w:w="9011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304"/>
        <w:gridCol w:w="1132"/>
        <w:gridCol w:w="850"/>
        <w:gridCol w:w="964"/>
        <w:gridCol w:w="908"/>
        <w:gridCol w:w="1022"/>
        <w:gridCol w:w="1130"/>
        <w:gridCol w:w="1021"/>
      </w:tblGrid>
      <w:tr>
        <w:trPr/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граждан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человек (чел.)</w:t>
            </w:r>
          </w:p>
        </w:tc>
        <w:tc>
          <w:tcPr>
            <w:tcW w:w="5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Выданные ТСР</w:t>
            </w:r>
          </w:p>
        </w:tc>
      </w:tr>
      <w:tr>
        <w:trPr/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 отчетный квартал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начала года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Тариф (руб.)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Фактические доходы (руб.)</w:t>
            </w:r>
          </w:p>
        </w:tc>
      </w:tr>
      <w:tr>
        <w:trPr/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 отчетный квартал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начала года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Директор учреждения  ________________  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(подпись)              (Ф.И.О.)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Главный бухгалтер ___________________  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(подпись)              (Ф.И.О.)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М.П.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2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Положению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пункте проката технических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средств реабилитации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bookmarkStart w:id="3" w:name="Par202"/>
      <w:bookmarkEnd w:id="3"/>
      <w:r>
        <w:rPr>
          <w:sz w:val="24"/>
          <w:szCs w:val="24"/>
          <w:lang w:eastAsia="ru-RU"/>
        </w:rPr>
        <w:t>Журнал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учета выданных технических средств реабилитации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tbl>
      <w:tblPr>
        <w:tblW w:w="9843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6"/>
        <w:gridCol w:w="845"/>
        <w:gridCol w:w="1132"/>
        <w:gridCol w:w="1140"/>
        <w:gridCol w:w="993"/>
        <w:gridCol w:w="993"/>
        <w:gridCol w:w="849"/>
        <w:gridCol w:w="993"/>
        <w:gridCol w:w="1248"/>
        <w:gridCol w:w="1304"/>
      </w:tblGrid>
      <w:tr>
        <w:trPr/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Дата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Ф.И.О.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Адрес места фактического проживания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Категория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 ТСР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Номер, дата договора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Срок возврата по договору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Причина досрочного возврата ТСР (дата, способ уведомления о досрочном возврате)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Подпись гражданина (законного представителя)</w:t>
            </w:r>
          </w:p>
        </w:tc>
      </w:tr>
      <w:tr>
        <w:trPr/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3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Положению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пункте проката технических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средств реабилитации</w:t>
      </w:r>
    </w:p>
    <w:p>
      <w:pPr>
        <w:pStyle w:val="Normal"/>
        <w:suppressAutoHyphens w:val="false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</w:t>
      </w:r>
    </w:p>
    <w:p>
      <w:pPr>
        <w:pStyle w:val="Normal"/>
        <w:suppressAutoHyphens w:val="false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Директору государственного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учреждения Тульской области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 xml:space="preserve">«Комплексный центр социального 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обслуживания населения №2»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от 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СНИЛС: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Паспорт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серия: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номер: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выдан: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дата выдачи: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Адрес: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Телефон: 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4" w:name="Par264"/>
      <w:bookmarkEnd w:id="4"/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ЗАЯВЛЕНИЕ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о предоставлении технического средства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реабилитации во временное пользование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Прошу  предоставить  техническое  средство  реабилитации  во  временное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пользование на период с "__" ___________ 20__ г. по "__" __________ 20__ г.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eastAsia="ru-RU"/>
        </w:rPr>
        <w:t>(Наименование технического средства реабилитации)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К заявлению прилагаю следующие документы: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1. 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2. 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 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(подпись заявителя)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4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Положению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пункте проката технических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средств реабилитации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Директору государственного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учреждения Тульской области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 xml:space="preserve">«Комплексный центр социального 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обслуживания населения №2»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от 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СНИЛС: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Паспорт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серия: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номер: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выдан: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дата выдачи: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Адрес: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Телефон: ______________________</w:t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заявление.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Данным   заявлением   предоставляю   свое   согласие   государственному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учреждению  Тульской области "__________________________________________" 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в пользу третьих лиц на обработку моих персональных данных в соответствии с</w:t>
      </w:r>
    </w:p>
    <w:p>
      <w:pPr>
        <w:pStyle w:val="Normal"/>
        <w:suppressAutoHyphens w:val="false"/>
        <w:jc w:val="both"/>
        <w:rPr/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Федеральным  </w:t>
      </w:r>
      <w:hyperlink r:id="rId2">
        <w:r>
          <w:rPr>
            <w:rFonts w:cs="Courier New" w:ascii="Courier New" w:hAnsi="Courier New"/>
            <w:color w:val="0000FF"/>
            <w:sz w:val="20"/>
            <w:szCs w:val="20"/>
            <w:lang w:eastAsia="ru-RU"/>
          </w:rPr>
          <w:t>законом</w:t>
        </w:r>
      </w:hyperlink>
      <w:r>
        <w:rPr>
          <w:rFonts w:cs="Courier New" w:ascii="Courier New" w:hAnsi="Courier New"/>
          <w:sz w:val="20"/>
          <w:szCs w:val="20"/>
          <w:lang w:eastAsia="ru-RU"/>
        </w:rPr>
        <w:t xml:space="preserve">  от  27.07.2006  г. N 152-ФЗ "О персональных данных" в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целях обеспечения меня техническими средствами реабилитации.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(подпись)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(дата)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5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Положению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пункте проката технических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средств реабилитации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Договор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предоставлении во временное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пользование технических средств реабилитации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г.Алексин                                           "___" __________20 __ г.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Государственное           учреждение          Тульской          области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«Комплексный центр социального обслуживания населения №2», именуемое     в     дальнейшем      Учреждение, в лице директора______________________________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______________________________________________________________________________,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(фамилия, имя, отчество)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действующего   на   основании   Устава,  с  одной  стороны   и    гражданин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__________________________________________________________________________,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eastAsia="ru-RU"/>
        </w:rPr>
        <w:t>(фамилия, имя, отчество гражданина пожилого возраста или инвалида, год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рождения, группа инвалидности)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паспорт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__________________________________________________________________________,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(серия, номер, когда и кем выдан)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зарегистрированный по адресу: ____________________________________________,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(район, город, улица, дом, квартира)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eastAsia="ru-RU"/>
        </w:rPr>
        <w:t>(документ, на основании которого установлена необходимость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в предмете проката)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именуемый  в дальнейшем Получатель,  с  другой стороны, совместно именуемые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Стороны, заключили настоящий Договор о нижеследующем.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1. Предмет Договора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5" w:name="Par361"/>
      <w:bookmarkEnd w:id="5"/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1.1.   Учреждение  обязуется   согласно  условиям  настоящего  Договора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предоставить  Получателю  за  плату  во  временное  пользование технические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средства реабилитации (далее - ТСР) 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 в полной исправности сроком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eastAsia="ru-RU"/>
        </w:rPr>
        <w:t>(наименование ТСР, количество)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на ______ месяцев с "___" _________20 __ г. по "___" _________20 __ г.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6" w:name="Par367"/>
      <w:bookmarkEnd w:id="6"/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1.2.  Оценочная стоимость ТСР, предоставленного по настоящему Договору,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на         основании         балансовой         стоимости        составляет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 рублей.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(сумма цифрами, прописью)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1.3.  ТСР,  предоставленные  по  настоящему  Договору,  используются  в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следующих целях 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1.4. Выдача ТСР, переданного во временное пользование, осуществляется в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помещении  Учреждения,  транспортировка  ТСР до места жительства Получателя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производится Получателем за свой счет.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2. Стоимость услуги Пункта проката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2.1.   За   пользование   ТСР   Получатель   при   заключении  Договора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единовременно  оплачивает  Учреждению  стоимость  услуги  проката  согласно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тарифам            на           прокат         ТСР        в         размере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 рублей в соответствии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(сумма цифрами и прописью)</w:t>
      </w:r>
    </w:p>
    <w:p>
      <w:pPr>
        <w:pStyle w:val="Normal"/>
        <w:suppressAutoHyphens w:val="false"/>
        <w:jc w:val="both"/>
        <w:rPr/>
      </w:pPr>
      <w:r>
        <w:rPr>
          <w:rFonts w:cs="Courier New" w:ascii="Courier New" w:hAnsi="Courier New"/>
          <w:sz w:val="20"/>
          <w:szCs w:val="20"/>
          <w:lang w:eastAsia="ru-RU"/>
        </w:rPr>
        <w:t>с  Расчетом  стоимости  проката  технического  средства  (</w:t>
      </w:r>
      <w:hyperlink w:anchor="Par492" w:tgtFrame="Расчет">
        <w:r>
          <w:rPr>
            <w:rFonts w:cs="Courier New" w:ascii="Courier New" w:hAnsi="Courier New"/>
            <w:color w:val="0000FF"/>
            <w:sz w:val="20"/>
            <w:szCs w:val="20"/>
            <w:lang w:eastAsia="ru-RU"/>
          </w:rPr>
          <w:t>приложение  N 1</w:t>
        </w:r>
      </w:hyperlink>
      <w:r>
        <w:rPr>
          <w:rFonts w:cs="Courier New" w:ascii="Courier New" w:hAnsi="Courier New"/>
          <w:sz w:val="20"/>
          <w:szCs w:val="20"/>
          <w:lang w:eastAsia="ru-RU"/>
        </w:rPr>
        <w:t xml:space="preserve"> к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Договору).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2.2.   Оплата  производится  наличными  денежными  средствами  в  кассу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Учреждения.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2.3.   В   случае   досрочного   возврата   ТСР   производится  возврат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соответствующей  части  полученной платы, исчисляя ее со дня, следующего за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днем фактического возврата ТСР.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3. Обязательства Сторон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3.1. Обязанности Учреждения: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3.1.1.  Передать Получателю ТСР в исправном состоянии на основании Акта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приема-передачи  ТСР,  в  котором  отражается  фактическое  состояние ТСР и</w:t>
      </w:r>
    </w:p>
    <w:p>
      <w:pPr>
        <w:pStyle w:val="Normal"/>
        <w:suppressAutoHyphens w:val="false"/>
        <w:jc w:val="both"/>
        <w:rPr/>
      </w:pPr>
      <w:r>
        <w:rPr>
          <w:rFonts w:cs="Courier New" w:ascii="Courier New" w:hAnsi="Courier New"/>
          <w:sz w:val="20"/>
          <w:szCs w:val="20"/>
          <w:lang w:eastAsia="ru-RU"/>
        </w:rPr>
        <w:t>комплектация (</w:t>
      </w:r>
      <w:hyperlink w:anchor="Par532" w:tgtFrame=" Акт">
        <w:r>
          <w:rPr>
            <w:rFonts w:cs="Courier New" w:ascii="Courier New" w:hAnsi="Courier New"/>
            <w:color w:val="0000FF"/>
            <w:sz w:val="20"/>
            <w:szCs w:val="20"/>
            <w:lang w:eastAsia="ru-RU"/>
          </w:rPr>
          <w:t>приложение N 2</w:t>
        </w:r>
      </w:hyperlink>
      <w:r>
        <w:rPr>
          <w:rFonts w:cs="Courier New" w:ascii="Courier New" w:hAnsi="Courier New"/>
          <w:sz w:val="20"/>
          <w:szCs w:val="20"/>
          <w:lang w:eastAsia="ru-RU"/>
        </w:rPr>
        <w:t xml:space="preserve"> к Договору).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После  подписания  Акта  приема-передачи ТСР претензии к переданному по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договору ТСР не принимаются.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3.1.2. Проверить исправность ТСР в присутствии Получателя.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3.1.3.  Ознакомить  Получателя  с  правилами  эксплуатации,  хранения 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техники   безопасности   ТСР,  в  случае  необходимости  выдать  письменные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инструкции о пользовании указанным ТСР.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3.1.4.    При   обнаружении   недостатков,   полностью   или   частично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препятствующих  пользованию ТСР, Учреждение обязано в течение 3 дней со дня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обращения  Получателя  безвозмездно  устранить  недостатки  на  месте  либо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произвести  замену  ТСР  другим  аналогичным  ТСР, находящимся в надлежащем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состоянии.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При  отсутствии  возможности  для замены ТСР  Получатель возвращает ТСР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Учреждению.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3.1.5. Проводить капитальный и текущий ремонт ТСР.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3.2. Обязанности Получателя: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3.2.2.  Поддерживать  ТСР  в  исправном  состоянии,  пользоваться  им в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соответствии   с   его  назначением,  не  предоставлять  другим  лицам,  не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производить  разборку  и  ремонт  ТСР,  вернуть  его  по  истечении  срока,</w:t>
      </w:r>
    </w:p>
    <w:p>
      <w:pPr>
        <w:pStyle w:val="Normal"/>
        <w:suppressAutoHyphens w:val="false"/>
        <w:jc w:val="both"/>
        <w:rPr/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указанного  в  </w:t>
      </w:r>
      <w:hyperlink w:anchor="Par361" w:tgtFrame=" 1.1. Учреждение обязуется согласно условиям настоящего Договора">
        <w:r>
          <w:rPr>
            <w:rFonts w:cs="Courier New" w:ascii="Courier New" w:hAnsi="Courier New"/>
            <w:color w:val="0000FF"/>
            <w:sz w:val="20"/>
            <w:szCs w:val="20"/>
            <w:lang w:eastAsia="ru-RU"/>
          </w:rPr>
          <w:t>п.  1.1</w:t>
        </w:r>
      </w:hyperlink>
      <w:r>
        <w:rPr>
          <w:rFonts w:cs="Courier New" w:ascii="Courier New" w:hAnsi="Courier New"/>
          <w:sz w:val="20"/>
          <w:szCs w:val="20"/>
          <w:lang w:eastAsia="ru-RU"/>
        </w:rPr>
        <w:t xml:space="preserve">   Договора, Учреждению в исправном состоянии по Акту</w:t>
      </w:r>
    </w:p>
    <w:p>
      <w:pPr>
        <w:pStyle w:val="Normal"/>
        <w:suppressAutoHyphens w:val="false"/>
        <w:jc w:val="both"/>
        <w:rPr/>
      </w:pPr>
      <w:r>
        <w:rPr>
          <w:rFonts w:cs="Courier New" w:ascii="Courier New" w:hAnsi="Courier New"/>
          <w:sz w:val="20"/>
          <w:szCs w:val="20"/>
          <w:lang w:eastAsia="ru-RU"/>
        </w:rPr>
        <w:t>приема-передачи ТСР (</w:t>
      </w:r>
      <w:hyperlink w:anchor="Par566" w:tgtFrame=" Акт">
        <w:r>
          <w:rPr>
            <w:rFonts w:cs="Courier New" w:ascii="Courier New" w:hAnsi="Courier New"/>
            <w:color w:val="0000FF"/>
            <w:sz w:val="20"/>
            <w:szCs w:val="20"/>
            <w:lang w:eastAsia="ru-RU"/>
          </w:rPr>
          <w:t>приложение N 3</w:t>
        </w:r>
      </w:hyperlink>
      <w:r>
        <w:rPr>
          <w:rFonts w:cs="Courier New" w:ascii="Courier New" w:hAnsi="Courier New"/>
          <w:sz w:val="20"/>
          <w:szCs w:val="20"/>
          <w:lang w:eastAsia="ru-RU"/>
        </w:rPr>
        <w:t xml:space="preserve"> к Договору).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3.2.3.  Оплатить  Учреждению  стоимость  ремонта и транспортировки ТСР,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если   неисправность   (повреждение)   ТСР   явились  следствием  нарушения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Получателем правил эксплуатации и хранения.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3.2.4.  Незамедлительно  уведомить Учреждение об утрате или повреждении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ТСР с момента свершения таких событий.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3.2.5.  В  случае  утраты ТСР гражданин обязан возместить его оценочную</w:t>
      </w:r>
    </w:p>
    <w:p>
      <w:pPr>
        <w:pStyle w:val="Normal"/>
        <w:suppressAutoHyphens w:val="false"/>
        <w:jc w:val="both"/>
        <w:rPr/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стоимость, указанную в </w:t>
      </w:r>
      <w:hyperlink w:anchor="Par367" w:tgtFrame=" 1.2. Оценочная стоимость ТСР, предоставленного по настоящему Договору,">
        <w:r>
          <w:rPr>
            <w:rFonts w:cs="Courier New" w:ascii="Courier New" w:hAnsi="Courier New"/>
            <w:color w:val="0000FF"/>
            <w:sz w:val="20"/>
            <w:szCs w:val="20"/>
            <w:lang w:eastAsia="ru-RU"/>
          </w:rPr>
          <w:t>пункте 1.2</w:t>
        </w:r>
      </w:hyperlink>
      <w:r>
        <w:rPr>
          <w:rFonts w:cs="Courier New" w:ascii="Courier New" w:hAnsi="Courier New"/>
          <w:sz w:val="20"/>
          <w:szCs w:val="20"/>
          <w:lang w:eastAsia="ru-RU"/>
        </w:rPr>
        <w:t xml:space="preserve"> настоящего Договора.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eastAsia="ru-RU"/>
        </w:rPr>
        <w:t>4. Возврат технического средства реабилитации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4.1.  Срок  пользования  ТСР  исчисляется в календарных днях. Если день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возврата  совпадает с выходным днем, то ТСР должно быть возвращено в первый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рабочий день после окончания согласованного в Договоре срока пользования.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4.2.   Получатель  вправе  отказаться  от  пользования  ТСР,  письменно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предупредив Учреждение о своем намерении за десять дней до возврата.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5. Ответственность Сторон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5.1.  При  просрочке  возврата  ТСР  с момента окончания срока действия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договора  Получатель  обязан оплатить неустойку в виде пени в размере одной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трехсотой   действующей   на   день  уплаты  пени  ставки  рефинансирования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Центрального  банка  Российской  Федерации  от  оценочной  стоимости ТСР за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каждый  день  просрочки  до  дня  возврата  включительно.  При  этом  сумма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неустойки не может превышать оценочную стоимость ТСР.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Выплата  неустойки  не  освобождает  Получателя от обязанности возврата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ТСР.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5.2.  За  неисполнение  или ненадлежащее исполнение настоящего Договора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стороны  несут  ответственность  в  соответствии  с  условиями  Договора  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действующим законодательством.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5.3.  Стороны  освобождаются от ответственности за частичное или полное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неисполнение  обязательств  по настоящему Договору, если такое неисполнение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явилось следствием обстоятельств непреодолимой силы.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5.4.  Риск случайной утраты (повреждения, порчи) ТСР несет Получатель с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момента передачи ТСР во временное пользование и до возврата в Учреждение.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eastAsia="ru-RU"/>
        </w:rPr>
        <w:t>6. Порядок изменения и дополнения Договора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6.1.  Любые  изменения  и  дополнения  к настоящему Договору имеют силу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только  в  том  случае,  если  они  оформлены в письменном виде и подписаны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обеими Сторонами.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6.2.  Учреждение  может  требовать  досрочного  расторжения  Договора в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следующих случаях: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если  Получатель  пользуется  ТСР  не  в  соответствии  с Договором или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назначением ТСР;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если Получатель умышленно или по неосторожности ухудшает состояние ТСР.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7. Порядок разрешения споров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7.1.  Все  споры,  не  урегулированные настоящим Договором, разрешаются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Сторонами  путем  переговоров.  При невозможности достижения согласия между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Сторонами споры разрешаются в судебном порядке.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8. Заключительные положения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8.1. Настоящий Договор составлен в двух экземплярах, имеющих одинаковую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юридическую силу, по одному экземпляру для каждой из Сторон.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8.2.  Передача  Получателем  своих  прав  и  обязанностей по настоящему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Договору   другому   лицу,   предоставление   этого   ТСР  в  безвозмездное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пользование,  внесение его в качестве имущественного вклада в хозяйственные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товарищества  и  общества или паевого взноса в производственные кооперативы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не допускаются.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9. Реквизиты и подписи Сторон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tbl>
      <w:tblPr>
        <w:tblW w:w="10071" w:type="dxa"/>
        <w:jc w:val="left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86"/>
        <w:gridCol w:w="5385"/>
      </w:tblGrid>
      <w:tr>
        <w:trPr/>
        <w:tc>
          <w:tcPr>
            <w:tcW w:w="4686" w:type="dxa"/>
            <w:tcBorders/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Заказчик</w:t>
            </w:r>
          </w:p>
        </w:tc>
      </w:tr>
      <w:tr>
        <w:trPr/>
        <w:tc>
          <w:tcPr>
            <w:tcW w:w="468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Г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У ТО «Комплексный центр социального обслуживания населения № 2»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Юридический адрес: 301362, Тульская обл.,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г. Алексин, ул. Пионерская, д.2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Банковские реквизиты: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ИНН 7111008520          КПП 711101001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PT Astra Serif;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лицевой счет 02662011640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ОТДЕЛЕНИЕ ТУЛА БАНКА РОССИИ//УФК по Тульской области г. Тула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99" w:hanging="0"/>
              <w:rPr>
                <w:rFonts w:ascii="Courier New" w:hAnsi="Courier New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БИК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color w:val="FF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017003983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99" w:hanging="0"/>
              <w:rPr>
                <w:rFonts w:ascii="Courier New" w:hAnsi="Courier New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расчетный счет 03224643700000006600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99" w:hanging="0"/>
              <w:rPr>
                <w:rFonts w:ascii="Courier New" w:hAnsi="Courier New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коррекционный счет 40102810445370000059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ОГРН 1027103671990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ОКТМО 70706000001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Назначение платежа: платные услуги для ГУ ТО «КЦСОН №2»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Тел. (48753) 4-20-73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Факс (48753) 4-48-27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  <w:lang w:val="en-US"/>
              </w:rPr>
              <w:t>e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-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  <w:lang w:val="en-US"/>
              </w:rPr>
              <w:t>mail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 xml:space="preserve">: </w:t>
            </w:r>
            <w:hyperlink r:id="rId3">
              <w:r>
                <w:rPr>
                  <w:rFonts w:eastAsia="" w:cs="Times New Roman" w:ascii="Courier New" w:hAnsi="Courier New" w:eastAsiaTheme="minorEastAsia"/>
                  <w:b w:val="false"/>
                  <w:bCs w:val="false"/>
                  <w:i w:val="false"/>
                  <w:iCs w:val="false"/>
                  <w:sz w:val="20"/>
                  <w:szCs w:val="20"/>
                  <w:shd w:fill="auto" w:val="clear"/>
                  <w:lang w:val="en-US"/>
                </w:rPr>
                <w:t>tcso</w:t>
              </w:r>
            </w:hyperlink>
            <w:hyperlink r:id="rId4">
              <w:r>
                <w:rPr>
                  <w:rFonts w:eastAsia="" w:cs="Times New Roman" w:ascii="Courier New" w:hAnsi="Courier New" w:eastAsiaTheme="minorEastAsia"/>
                  <w:b w:val="false"/>
                  <w:bCs w:val="false"/>
                  <w:i w:val="false"/>
                  <w:iCs w:val="false"/>
                  <w:sz w:val="20"/>
                  <w:szCs w:val="20"/>
                  <w:shd w:fill="auto" w:val="clear"/>
                </w:rPr>
                <w:t>.</w:t>
              </w:r>
            </w:hyperlink>
            <w:hyperlink r:id="rId5">
              <w:r>
                <w:rPr>
                  <w:rFonts w:eastAsia="" w:cs="Times New Roman" w:ascii="Courier New" w:hAnsi="Courier New" w:eastAsiaTheme="minorEastAsia"/>
                  <w:b w:val="false"/>
                  <w:bCs w:val="false"/>
                  <w:i w:val="false"/>
                  <w:iCs w:val="false"/>
                  <w:sz w:val="20"/>
                  <w:szCs w:val="20"/>
                  <w:shd w:fill="auto" w:val="clear"/>
                  <w:lang w:val="en-US"/>
                </w:rPr>
                <w:t>aleksin</w:t>
              </w:r>
            </w:hyperlink>
            <w:hyperlink r:id="rId6">
              <w:r>
                <w:rPr>
                  <w:rFonts w:eastAsia="" w:cs="Times New Roman" w:ascii="Courier New" w:hAnsi="Courier New" w:eastAsiaTheme="minorEastAsia"/>
                  <w:b w:val="false"/>
                  <w:bCs w:val="false"/>
                  <w:i w:val="false"/>
                  <w:iCs w:val="false"/>
                  <w:sz w:val="20"/>
                  <w:szCs w:val="20"/>
                  <w:shd w:fill="auto" w:val="clear"/>
                </w:rPr>
                <w:t>@</w:t>
              </w:r>
            </w:hyperlink>
            <w:hyperlink r:id="rId7">
              <w:r>
                <w:rPr>
                  <w:rFonts w:eastAsia="" w:cs="Times New Roman" w:ascii="Courier New" w:hAnsi="Courier New" w:eastAsiaTheme="minorEastAsia"/>
                  <w:b w:val="false"/>
                  <w:bCs w:val="false"/>
                  <w:i w:val="false"/>
                  <w:iCs w:val="false"/>
                  <w:sz w:val="20"/>
                  <w:szCs w:val="20"/>
                  <w:shd w:fill="auto" w:val="clear"/>
                  <w:lang w:val="en-US"/>
                </w:rPr>
                <w:t>tularegion</w:t>
              </w:r>
            </w:hyperlink>
            <w:hyperlink r:id="rId8">
              <w:r>
                <w:rPr>
                  <w:rFonts w:eastAsia="" w:cs="Times New Roman" w:ascii="Courier New" w:hAnsi="Courier New" w:eastAsiaTheme="minorEastAsia"/>
                  <w:b w:val="false"/>
                  <w:bCs w:val="false"/>
                  <w:i w:val="false"/>
                  <w:iCs w:val="false"/>
                  <w:sz w:val="20"/>
                  <w:szCs w:val="20"/>
                  <w:shd w:fill="auto" w:val="clear"/>
                </w:rPr>
                <w:t>.</w:t>
              </w:r>
            </w:hyperlink>
            <w:hyperlink r:id="rId9">
              <w:r>
                <w:rPr>
                  <w:rFonts w:eastAsia="" w:cs="Times New Roman" w:ascii="Courier New" w:hAnsi="Courier New" w:eastAsiaTheme="minorEastAsia"/>
                  <w:b w:val="false"/>
                  <w:bCs w:val="false"/>
                  <w:i w:val="false"/>
                  <w:iCs w:val="false"/>
                  <w:sz w:val="20"/>
                  <w:szCs w:val="20"/>
                  <w:shd w:fill="auto" w:val="clear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  <w:lang w:val="ru-RU"/>
              </w:rPr>
              <w:t>И.о.д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иректор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  <w:lang w:val="ru-RU"/>
              </w:rPr>
              <w:t>а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 xml:space="preserve">__________ 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  <w:lang w:val="ru-RU"/>
              </w:rPr>
              <w:t>Т.В.Морозова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0"/>
              <w:rPr>
                <w:rFonts w:ascii="Courier New" w:hAnsi="Courier New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М.П.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eastAsia="Times New Roman" w:cs="Times New Roman" w:ascii="Courier New" w:hAnsi="Courier New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Courier New" w:hAnsi="Courier New"/>
                <w:b/>
                <w:color w:val="000000"/>
                <w:sz w:val="20"/>
                <w:szCs w:val="20"/>
                <w:lang w:eastAsia="ru-RU"/>
              </w:rPr>
              <w:t>Иванов Иван Иванович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/>
              <w:ind w:left="0" w:right="0" w:firstLine="708"/>
              <w:rPr>
                <w:rFonts w:ascii="Courier New" w:hAnsi="Courier New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Courier New" w:hAnsi="Courier New"/>
                <w:b w:val="false"/>
                <w:bCs w:val="false"/>
                <w:color w:val="000000"/>
                <w:sz w:val="20"/>
                <w:szCs w:val="20"/>
              </w:rPr>
              <w:t>паспорт  хх хх № хххххх выдан «хх» февраля 2002 года Алексинским ГОВД Тульской области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/>
              <w:ind w:left="0" w:right="0" w:firstLine="708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cs="Times New Roman" w:ascii="Courier New" w:hAnsi="Courier New"/>
                <w:sz w:val="20"/>
                <w:szCs w:val="20"/>
              </w:rPr>
              <w:t>Адрес места жительства Заказчика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eastAsia="Times New Roman" w:cs="Times New Roman" w:ascii="Courier New" w:hAnsi="Courier New"/>
                <w:sz w:val="20"/>
                <w:szCs w:val="20"/>
              </w:rPr>
              <w:t xml:space="preserve">  </w:t>
            </w:r>
            <w:r>
              <w:rPr>
                <w:rFonts w:cs="Times New Roman" w:ascii="Courier New" w:hAnsi="Courier New"/>
                <w:sz w:val="20"/>
                <w:szCs w:val="20"/>
              </w:rPr>
              <w:t xml:space="preserve">г. Алексин, ул. </w:t>
            </w:r>
            <w:r>
              <w:rPr>
                <w:rFonts w:cs="Times New Roman" w:ascii="Courier New" w:hAnsi="Courier New"/>
                <w:color w:val="000000"/>
                <w:sz w:val="20"/>
                <w:szCs w:val="20"/>
              </w:rPr>
              <w:t>ХХХХХХХХХХ</w:t>
            </w:r>
            <w:r>
              <w:rPr>
                <w:rFonts w:cs="Times New Roman" w:ascii="Courier New" w:hAnsi="Courier New"/>
                <w:sz w:val="20"/>
                <w:szCs w:val="20"/>
              </w:rPr>
              <w:t xml:space="preserve">, д. </w:t>
            </w:r>
            <w:r>
              <w:rPr>
                <w:rFonts w:cs="Times New Roman" w:ascii="Courier New" w:hAnsi="Courier New"/>
                <w:color w:val="000000"/>
                <w:sz w:val="20"/>
                <w:szCs w:val="20"/>
              </w:rPr>
              <w:t>ХХ, кв. ХХ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/>
              <w:rPr>
                <w:rFonts w:ascii="Courier New" w:hAnsi="Courier New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Courier New" w:hAnsi="Courier New"/>
                <w:color w:val="000000"/>
                <w:sz w:val="20"/>
                <w:szCs w:val="20"/>
              </w:rPr>
              <w:t>Заказчик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 w:before="0" w:after="0"/>
              <w:rPr>
                <w:rFonts w:ascii="Courier New" w:hAnsi="Courier New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/>
              <w:rPr>
                <w:rFonts w:ascii="Courier New" w:hAnsi="Courier New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Courier New" w:hAnsi="Courier New"/>
                <w:color w:val="000000"/>
                <w:sz w:val="20"/>
                <w:szCs w:val="20"/>
              </w:rPr>
              <w:t>Банковские реквизиты Заказчика (при наличии)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/>
              <w:rPr>
                <w:rFonts w:ascii="Courier New" w:hAnsi="Courier New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Courier New" w:hAnsi="Courier New"/>
                <w:color w:val="000000"/>
                <w:sz w:val="20"/>
                <w:szCs w:val="20"/>
              </w:rPr>
              <w:t>Фамилия, имя, отчество (при наличии) законного представителя Заказчика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/>
              <w:rPr>
                <w:rFonts w:ascii="Courier New" w:hAnsi="Courier New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Courier New" w:hAnsi="Courier New"/>
                <w:color w:val="000000"/>
                <w:sz w:val="20"/>
                <w:szCs w:val="20"/>
              </w:rPr>
              <w:t>Данные документа, удостоверяющего личность, законного представителя Заказчика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/>
              <w:rPr>
                <w:rFonts w:ascii="Courier New" w:hAnsi="Courier New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Courier New" w:hAnsi="Courier New"/>
                <w:color w:val="000000"/>
                <w:sz w:val="20"/>
                <w:szCs w:val="20"/>
              </w:rPr>
              <w:t>Адрес места жительства законного представителя Заказчика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 w:before="0" w:after="0"/>
              <w:rPr>
                <w:rFonts w:ascii="Courier New" w:hAnsi="Courier New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eastAsia="Times New Roman" w:cs="Times New Roman" w:ascii="Courier New" w:hAnsi="Courier New"/>
                <w:sz w:val="20"/>
                <w:szCs w:val="20"/>
              </w:rPr>
              <w:t xml:space="preserve">   </w:t>
            </w:r>
            <w:r>
              <w:rPr>
                <w:rFonts w:cs="Times New Roman" w:ascii="Courier New" w:hAnsi="Courier New"/>
                <w:sz w:val="20"/>
                <w:szCs w:val="20"/>
              </w:rPr>
              <w:t xml:space="preserve">____________      </w:t>
            </w:r>
            <w:r>
              <w:rPr>
                <w:rFonts w:cs="Tinos" w:ascii="Courier New" w:hAnsi="Courier New"/>
                <w:sz w:val="20"/>
                <w:szCs w:val="20"/>
              </w:rPr>
              <w:t xml:space="preserve"> </w:t>
            </w:r>
            <w:r>
              <w:rPr>
                <w:rFonts w:cs="Tinos" w:ascii="Courier New" w:hAnsi="Courier New"/>
                <w:color w:val="000000"/>
                <w:sz w:val="20"/>
                <w:szCs w:val="20"/>
                <w:lang w:eastAsia="ru-RU"/>
              </w:rPr>
              <w:t>И.И. Иванов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0"/>
              <w:jc w:val="both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eastAsia="Times New Roman" w:cs="Times New Roman" w:ascii="Courier New" w:hAnsi="Courier New"/>
                <w:bCs/>
                <w:sz w:val="20"/>
                <w:szCs w:val="20"/>
              </w:rPr>
              <w:t xml:space="preserve">             </w:t>
            </w:r>
            <w:r>
              <w:rPr>
                <w:rFonts w:cs="Times New Roman" w:ascii="Courier New" w:hAnsi="Courier New"/>
                <w:bCs/>
                <w:sz w:val="20"/>
                <w:szCs w:val="20"/>
              </w:rPr>
              <w:t>подпись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0"/>
              <w:jc w:val="both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cs="Times New Roman" w:ascii="Courier New" w:hAnsi="Courier New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before="0" w:after="200"/>
        <w:jc w:val="center"/>
        <w:rPr/>
      </w:pPr>
      <w:r>
        <w:rPr/>
      </w:r>
    </w:p>
    <w:p>
      <w:pPr>
        <w:pStyle w:val="Normal"/>
        <w:widowControl/>
        <w:jc w:val="right"/>
        <w:rPr/>
      </w:pPr>
      <w:r>
        <w:rPr/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N 1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договору о предоставлении во временное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пользование технических средств реабилитации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cs="Courier New" w:ascii="Courier New" w:hAnsi="Courier New"/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rFonts w:ascii="Courier New" w:hAnsi="Courier New" w:cs="Courier New"/>
          <w:sz w:val="20"/>
          <w:szCs w:val="24"/>
          <w:lang w:eastAsia="ru-RU"/>
        </w:rPr>
      </w:pPr>
      <w:bookmarkStart w:id="7" w:name="Par492"/>
      <w:bookmarkEnd w:id="7"/>
      <w:r>
        <w:rPr>
          <w:rFonts w:cs="Courier New" w:ascii="Courier New" w:hAnsi="Courier New"/>
          <w:sz w:val="20"/>
          <w:szCs w:val="24"/>
          <w:lang w:eastAsia="ru-RU"/>
        </w:rPr>
        <w:t>Расчет</w:t>
      </w:r>
    </w:p>
    <w:p>
      <w:pPr>
        <w:pStyle w:val="Normal"/>
        <w:suppressAutoHyphens w:val="false"/>
        <w:jc w:val="center"/>
        <w:rPr>
          <w:rFonts w:ascii="Courier New" w:hAnsi="Courier New" w:cs="Courier New"/>
          <w:sz w:val="20"/>
          <w:szCs w:val="24"/>
          <w:lang w:eastAsia="ru-RU"/>
        </w:rPr>
      </w:pPr>
      <w:r>
        <w:rPr>
          <w:rFonts w:cs="Courier New" w:ascii="Courier New" w:hAnsi="Courier New"/>
          <w:sz w:val="20"/>
          <w:szCs w:val="24"/>
          <w:lang w:eastAsia="ru-RU"/>
        </w:rPr>
        <w:t>стоимости проката технических средств реабилитации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4"/>
          <w:lang w:eastAsia="ru-RU"/>
        </w:rPr>
      </w:pPr>
      <w:r>
        <w:rPr>
          <w:rFonts w:cs="Courier New" w:ascii="Courier New" w:hAnsi="Courier New"/>
          <w:sz w:val="20"/>
          <w:szCs w:val="24"/>
          <w:lang w:eastAsia="ru-RU"/>
        </w:rPr>
      </w:r>
    </w:p>
    <w:tbl>
      <w:tblPr>
        <w:tblW w:w="9014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6"/>
        <w:gridCol w:w="3291"/>
        <w:gridCol w:w="1189"/>
        <w:gridCol w:w="2157"/>
        <w:gridCol w:w="1701"/>
      </w:tblGrid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  <w:t>N п/п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  <w:t>Наименование технического средства реабилитации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  <w:t>Тариф, руб.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  <w:t>Срок, количество календарных дней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  <w:t>Стоимость проката, руб.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</w:tr>
    </w:tbl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4"/>
          <w:lang w:eastAsia="ru-RU"/>
        </w:rPr>
      </w:pPr>
      <w:r>
        <w:rPr>
          <w:rFonts w:cs="Courier New" w:ascii="Courier New" w:hAnsi="Courier New"/>
          <w:sz w:val="20"/>
          <w:szCs w:val="24"/>
          <w:lang w:eastAsia="ru-RU"/>
        </w:rPr>
      </w:r>
    </w:p>
    <w:tbl>
      <w:tblPr>
        <w:tblW w:w="9014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4"/>
        <w:gridCol w:w="4480"/>
      </w:tblGrid>
      <w:tr>
        <w:trPr/>
        <w:tc>
          <w:tcPr>
            <w:tcW w:w="4534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  <w:t>ГУ ТО «КЦСОН №2»</w:t>
            </w:r>
          </w:p>
        </w:tc>
        <w:tc>
          <w:tcPr>
            <w:tcW w:w="4480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  <w:t>Получатель</w:t>
            </w:r>
          </w:p>
        </w:tc>
      </w:tr>
    </w:tbl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N 2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договору о предоставлении во временное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пользование технических средств реабилитации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8" w:name="Par532"/>
      <w:bookmarkEnd w:id="8"/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Акт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eastAsia="ru-RU"/>
        </w:rPr>
        <w:t>приема-передачи ТСР по договору о предоставлении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eastAsia="ru-RU"/>
        </w:rPr>
        <w:t>во временное пользование технических средств реабилитации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                                "___" __________20 __ г.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Государственное           учреждение          Тульской          области «Комплексный центр социального обслуживания населения №2», именуемое в дальнейшем Учреждение, в лице директора __________________, действующего на основании ________________, и гражданин    _______________________________,    именуемый   в   дальнейшем Получатель, с другой стороны составили настоящий акт о нижеследующем: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В    соответствии    с    договором   о   предоставлении  во  временное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пользование    технических     средств      реабилитации    N 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от "__" _____________ 20 ___ г.  Учреждение  передало,  а Получатель принял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следующее ТСР: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В результате осмотра вышеуказанных ТСР неисправности не выявлены.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Стороны друг к другу претензий не имеют.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Настоящий   акт   составлен  в  двух  экземплярах,  имеющих  одинаковую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юридическую силу, по одному для каждой из Сторон.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ГУ ТО «КЦСОН №2»:                                        Получатель: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______________/_________________/         ______________/_________________/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N 3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договору о предоставлении во временное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пользование технических средств реабилитации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9" w:name="Par566"/>
      <w:bookmarkEnd w:id="9"/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Акт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eastAsia="ru-RU"/>
        </w:rPr>
        <w:t>приема-передачи ТСР по договору о предоставлении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eastAsia="ru-RU"/>
        </w:rPr>
        <w:t>во временное пользование технических средств реабилитации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Гражданин    _______________________________________________, именуемый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в дальнейшем Получатель,  с  одной  стороны  и  государственное  учреждение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Тульской области «Комплексный центр социального обслуживания населения №2» ,  именуемое  в  дальнейшем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Учреждение, в лице директора ____________________________, действующего  на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основании _____________________, с другой стороны составили настоящий акт 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нижеследующем: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В    соответствии    с    договором   о   предоставлении  во  временное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пользование   технических    средств   реабилитации   N 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от "__" ______________ 20 ___ г.  Получатель  передал, а Учреждение приняло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следующее ТСР: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В результате осмотра вышеуказанных ТСР неисправности не выявлены.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Стороны друг к другу претензий не имеют.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Настоящий   акт   составлен  в  двух  экземплярах,  имеющих  одинаковую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юридическую силу, по одному для каждой из Сторон.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Получатель:                                               ГУ ТО «КЦСОН №2»: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______________/_________________/         ______________/_________________/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 6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Положению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пункте проката технических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средств реабилитации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rFonts w:ascii="Arial" w:hAnsi="Arial" w:cs="Arial"/>
          <w:b/>
          <w:b/>
          <w:bCs/>
          <w:sz w:val="24"/>
          <w:szCs w:val="24"/>
          <w:lang w:eastAsia="ru-RU"/>
        </w:rPr>
      </w:pPr>
      <w:bookmarkStart w:id="10" w:name="Par601"/>
      <w:bookmarkEnd w:id="10"/>
      <w:r>
        <w:rPr>
          <w:rFonts w:cs="Arial" w:ascii="Arial" w:hAnsi="Arial"/>
          <w:b/>
          <w:bCs/>
          <w:sz w:val="24"/>
          <w:szCs w:val="24"/>
          <w:lang w:eastAsia="ru-RU"/>
        </w:rPr>
        <w:t>Методика</w:t>
      </w:r>
    </w:p>
    <w:p>
      <w:pPr>
        <w:pStyle w:val="Normal"/>
        <w:suppressAutoHyphens w:val="false"/>
        <w:jc w:val="center"/>
        <w:rPr>
          <w:rFonts w:ascii="Arial" w:hAnsi="Arial" w:cs="Arial"/>
          <w:b/>
          <w:b/>
          <w:bCs/>
          <w:sz w:val="24"/>
          <w:szCs w:val="24"/>
          <w:lang w:eastAsia="ru-RU"/>
        </w:rPr>
      </w:pPr>
      <w:r>
        <w:rPr>
          <w:rFonts w:cs="Arial" w:ascii="Arial" w:hAnsi="Arial"/>
          <w:b/>
          <w:bCs/>
          <w:sz w:val="24"/>
          <w:szCs w:val="24"/>
          <w:lang w:eastAsia="ru-RU"/>
        </w:rPr>
        <w:t>расчета суточного тарифа услуги, оказываемой</w:t>
      </w:r>
    </w:p>
    <w:p>
      <w:pPr>
        <w:pStyle w:val="Normal"/>
        <w:suppressAutoHyphens w:val="false"/>
        <w:jc w:val="center"/>
        <w:rPr>
          <w:rFonts w:ascii="Arial" w:hAnsi="Arial" w:cs="Arial"/>
          <w:b/>
          <w:b/>
          <w:bCs/>
          <w:sz w:val="24"/>
          <w:szCs w:val="24"/>
          <w:lang w:eastAsia="ru-RU"/>
        </w:rPr>
      </w:pPr>
      <w:r>
        <w:rPr>
          <w:rFonts w:cs="Arial" w:ascii="Arial" w:hAnsi="Arial"/>
          <w:b/>
          <w:bCs/>
          <w:sz w:val="24"/>
          <w:szCs w:val="24"/>
          <w:lang w:eastAsia="ru-RU"/>
        </w:rPr>
        <w:t>пунктами проката технических средств реабилитации</w:t>
      </w:r>
    </w:p>
    <w:p>
      <w:pPr>
        <w:pStyle w:val="Normal"/>
        <w:suppressAutoHyphens w:val="false"/>
        <w:jc w:val="center"/>
        <w:rPr>
          <w:rFonts w:ascii="Arial" w:hAnsi="Arial" w:cs="Arial"/>
          <w:b/>
          <w:b/>
          <w:bCs/>
          <w:sz w:val="24"/>
          <w:szCs w:val="24"/>
          <w:lang w:eastAsia="ru-RU"/>
        </w:rPr>
      </w:pPr>
      <w:r>
        <w:rPr>
          <w:rFonts w:cs="Arial" w:ascii="Arial" w:hAnsi="Arial"/>
          <w:b/>
          <w:bCs/>
          <w:sz w:val="24"/>
          <w:szCs w:val="24"/>
          <w:lang w:eastAsia="ru-RU"/>
        </w:rPr>
        <w:t>отдельным категориям граждан во временное пользование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center"/>
        <w:outlineLvl w:val="2"/>
        <w:rPr>
          <w:rFonts w:ascii="Arial" w:hAnsi="Arial" w:cs="Arial"/>
          <w:b/>
          <w:b/>
          <w:bCs/>
          <w:sz w:val="24"/>
          <w:szCs w:val="24"/>
          <w:lang w:eastAsia="ru-RU"/>
        </w:rPr>
      </w:pPr>
      <w:r>
        <w:rPr>
          <w:rFonts w:cs="Arial" w:ascii="Arial" w:hAnsi="Arial"/>
          <w:b/>
          <w:bCs/>
          <w:sz w:val="24"/>
          <w:szCs w:val="24"/>
          <w:lang w:eastAsia="ru-RU"/>
        </w:rPr>
        <w:t>1. Общие положения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/>
      </w:pPr>
      <w:r>
        <w:rPr>
          <w:sz w:val="24"/>
          <w:szCs w:val="24"/>
          <w:lang w:eastAsia="ru-RU"/>
        </w:rPr>
        <w:t xml:space="preserve">1.1. Настоящая методика расчета суточного тарифа услуги, оказываемой пунктом проката технических средств реабилитации отдельным категориям граждан во временное пользование (далее - прокат ТСР, тариф), разработана в соответствии с приказом министерства труда и социальной защиты Тульской области от 04.08.2016 N 352-осн "Об утверждении Порядка ведения иной приносящей доход деятельности, осуществляемой в подведомственных министерству труда и социальной защиты Тульской области учреждениях", </w:t>
      </w:r>
      <w:hyperlink r:id="rId10">
        <w:r>
          <w:rPr>
            <w:color w:val="0000FF"/>
            <w:sz w:val="24"/>
            <w:szCs w:val="24"/>
            <w:lang w:eastAsia="ru-RU"/>
          </w:rPr>
          <w:t>Методическими рекомендациями</w:t>
        </w:r>
      </w:hyperlink>
      <w:r>
        <w:rPr>
          <w:sz w:val="24"/>
          <w:szCs w:val="24"/>
          <w:lang w:eastAsia="ru-RU"/>
        </w:rPr>
        <w:t xml:space="preserve"> министерства экономики Российской Федерации по формированию и применению свободных цен и тарифов на продукцию, товары и услуги от 06.12.1995 N СИ-484/7-982.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1.2. Данная методика определяет порядок расчета суточного тарифа на услугу проката ТСР.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1.3. Расчет суточного тарифа на услугу проката ТСР производится в рублях.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center"/>
        <w:outlineLvl w:val="2"/>
        <w:rPr>
          <w:rFonts w:ascii="Arial" w:hAnsi="Arial" w:cs="Arial"/>
          <w:b/>
          <w:b/>
          <w:bCs/>
          <w:sz w:val="24"/>
          <w:szCs w:val="24"/>
          <w:lang w:eastAsia="ru-RU"/>
        </w:rPr>
      </w:pPr>
      <w:r>
        <w:rPr>
          <w:rFonts w:cs="Arial" w:ascii="Arial" w:hAnsi="Arial"/>
          <w:b/>
          <w:bCs/>
          <w:sz w:val="24"/>
          <w:szCs w:val="24"/>
          <w:lang w:eastAsia="ru-RU"/>
        </w:rPr>
        <w:t>2. Расчет стоимости тарифа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2.1. Затраты, связанные с оказанием услуг по прокату ТСР, складываются из затрат на оплату труда с начислениями работника учреждения, непосредственно осуществляющего выдачу ТСР в прокат и получение ТСР обратно, стоимости ТСР с учетом срока полезного использования и затрат, связанных с содержанием ТСР, а также необходимой прибыли.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Расчет стоимости тарифа за один день проката ТСР рассчитывается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Тд = Зус. + П,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Тд - тариф за одни сутки проката ТСР;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Зус. - затраты, связанные с оказанием услуг по прокату ТСР за одни сутки;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 - прибыль.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2.2. Затраты, связанные с оказанием услуг по прокату ТСР за одни сутки, рассчитываются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Зус. = Зотп + Зст. + Зсод.,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Зус. - затраты, связанные с оказанием услуги по прокату ТСР за одни сутки;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Зотп - затраты на оплату труда с начислениями работника учреждения, непосредственно осуществляющего выдачу ТСР в прокат и получение ТСР обратно;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Зст. - стоимость ТСР с учетом срока полезного использования;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Зсод. - затраты, связанные с содержанием ТСР.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2.3. Затраты на оплату труда работника учреждения, непосредственно осуществляющего выдачу ТСР в прокат и получение ТСР обратно, в день с учетом периодичности услуг проката по конкретному ТСР и средней продолжительности оказания одной услуги выдачи ТСР в прокат и получение ТСР обратно рассчитываются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Зотп = Зсрот / Фрв / 60 мин. x Воу x Пок / Ккд,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Зотп - затраты на оплату труда с начислениями работника учреждения, непосредственно осуществляющего выдачу ТСР в прокат и получение ТСР обратно;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/>
      </w:pPr>
      <w:r>
        <w:rPr>
          <w:sz w:val="24"/>
          <w:szCs w:val="24"/>
          <w:lang w:eastAsia="ru-RU"/>
        </w:rPr>
        <w:t xml:space="preserve">Зсрот - среднемесячный размер заработной платы с начислениями работника учреждения, непосредственно осуществляющего выдачу ТСР в прокат и получение ТСР обратно, за предыдущий год, определенный в соответствии с </w:t>
      </w:r>
      <w:hyperlink r:id="rId11">
        <w:r>
          <w:rPr>
            <w:color w:val="0000FF"/>
            <w:sz w:val="24"/>
            <w:szCs w:val="24"/>
            <w:lang w:eastAsia="ru-RU"/>
          </w:rPr>
          <w:t>Постановлением</w:t>
        </w:r>
      </w:hyperlink>
      <w:r>
        <w:rPr>
          <w:sz w:val="24"/>
          <w:szCs w:val="24"/>
          <w:lang w:eastAsia="ru-RU"/>
        </w:rPr>
        <w:t xml:space="preserve"> Правительства Российской Федерации от 24.12.2007 N 922 "Об особенностях порядка исчисления средней заработной платы", с учетом индексации в размерах, определенных соответствующим распоряжением правительства Тульской области;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Фрв - средняя норма рабочего времени в месяц;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Воу - время оказания услуги;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Пок - периодичность оказания услуги (выдача/прием) в год;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Ккд - количество календарных дней в году.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2.4. Стоимость ТСР с учетом срока полезного использования в день рассчитывается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Зст. = СТтср / Српи,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Зст. - стоимость ТСР с учетом срока полезного использования в день;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СТтср - стоимость ТСР;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/>
      </w:pPr>
      <w:r>
        <w:rPr>
          <w:sz w:val="24"/>
          <w:szCs w:val="24"/>
          <w:lang w:eastAsia="ru-RU"/>
        </w:rPr>
        <w:t xml:space="preserve">Српи - срок полезного использования ТСР в соответствии с Общероссийским </w:t>
      </w:r>
      <w:hyperlink r:id="rId12">
        <w:r>
          <w:rPr>
            <w:color w:val="0000FF"/>
            <w:sz w:val="24"/>
            <w:szCs w:val="24"/>
            <w:lang w:eastAsia="ru-RU"/>
          </w:rPr>
          <w:t>классификатором</w:t>
        </w:r>
      </w:hyperlink>
      <w:r>
        <w:rPr>
          <w:sz w:val="24"/>
          <w:szCs w:val="24"/>
          <w:lang w:eastAsia="ru-RU"/>
        </w:rPr>
        <w:t xml:space="preserve"> основных фондов (ОКОФ).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2.5. Стоимость услуги по содержанию ТСР складывается из затрат на приобретение дезинфицирующих средств, расход воды и оплату труда работника учреждения, непосредственно осуществляющего проведение профилактической дезинфекции ТСР.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Расчет стоимости услуги на содержание ТСР рассчитывается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Зсод. = (Здс + Зкв + Зотк) / 365,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Зсод. - стоимость услуги по содержанию ТСР;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Здс - затраты на приобретение дезинфицирующих средств, из расчета цены и количества, необходимого для проведения профилактической дезинфекции ТСР;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Зкв - затраты на объем воды, необходимый для приготовления рабочего раствора дезинфицирующего средства;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Зотк - затраты на оплату труда с начислениями работника учреждения, непосредственно осуществляющего проведение профилактической дезинфекции ТСР.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2.6. Затраты на приобретение дезинфицирующих средств рассчитываются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Здс = Цдс x Кдс,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Здс - затраты на приобретение дезинфицирующих средств;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Ццс - цена 1 единицы дезинфицирующего средства;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Кдс - количество дезинфицирующих средств, необходимых для приготовления рабочего раствора дезинфицирующего средства.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2.7. Затраты на объем воды, необходимый для приготовления рабочего раствора дезинфицирующего средства, складываются из затрат на водоснабжение и водоотведение и рассчитываются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Зкв = (Цв x Кв) + (Цво x Кво),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Зкв - затраты на объем воды, необходимый для приготовления рабочего раствора дезинфицирующего средства;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Цв - размер тарифа 1 л на водоснабжение по заключенному контракту с водоснабжающей организацией с учетом индекса роста цен;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Кв - количество воды, необходимое для приготовления рабочего раствора дезинфицирующего средства;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Цво - размер тарифа 1 м стоков по заключенному контракту с водоснабжающей организацией с учетом индекса роста цен;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Кво - количество раствора, оставшегося после дезинфекции ТСР.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2.8. Затраты на оплату труда работника учреждения, непосредственно осуществляющего проведение профилактической дезинфекции ТСР, с учетом периодичности услуг проката по конкретному ТСР и средней продолжительностью оказания одной услуги рассчитываются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Зотк = Зсрот / Фрв / 60 мин. x Воу x Пок / Ккд,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Зотк - затраты на оплату труда работника учреждения, непосредственно осуществляющего проведение профилактической дезинфекции ТСР;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/>
      </w:pPr>
      <w:r>
        <w:rPr>
          <w:sz w:val="24"/>
          <w:szCs w:val="24"/>
          <w:lang w:eastAsia="ru-RU"/>
        </w:rPr>
        <w:t xml:space="preserve">Зсрот - среднемесячный размер заработной платы с начислениями работника учреждения, непосредственно осуществляющего проведение профилактической дезинфекции ТСР, за предыдущий год в соответствии с </w:t>
      </w:r>
      <w:hyperlink r:id="rId13">
        <w:r>
          <w:rPr>
            <w:color w:val="0000FF"/>
            <w:sz w:val="24"/>
            <w:szCs w:val="24"/>
            <w:lang w:eastAsia="ru-RU"/>
          </w:rPr>
          <w:t>Постановлением</w:t>
        </w:r>
      </w:hyperlink>
      <w:r>
        <w:rPr>
          <w:sz w:val="24"/>
          <w:szCs w:val="24"/>
          <w:lang w:eastAsia="ru-RU"/>
        </w:rPr>
        <w:t xml:space="preserve"> Правительства Российской Федерации от 24.12.2007 N 922 "Об особенностях порядка исчисления средней заработной платы" с учетом индексации в размерах, определенных соответствующим распоряжением правительства Тульской области;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Фрв - средняя норма рабочего времени в месяц;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Воу - время оказания услуги;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Пок - периодичность оказания услуги (выдача/прием) в год;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Ккд - количество календарных дней в году.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2.9. Прибыль рассчитывается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 = Зус x 10%,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 - прибыль;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Зус - затраты, связанные с оказанием услуг по прокату ТСР за одни сутки.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/>
      </w:pPr>
      <w:r>
        <w:rPr/>
      </w:r>
      <w:bookmarkStart w:id="11" w:name="_GoBack1"/>
      <w:bookmarkStart w:id="12" w:name="_GoBack1"/>
      <w:bookmarkEnd w:id="12"/>
    </w:p>
    <w:sectPr>
      <w:footerReference w:type="default" r:id="rId14"/>
      <w:type w:val="nextPage"/>
      <w:pgSz w:w="11906" w:h="16838"/>
      <w:pgMar w:left="1600" w:right="720" w:gutter="0" w:header="0" w:top="1060" w:footer="0" w:bottom="709"/>
      <w:pgNumType w:fmt="decimal"/>
      <w:formProt w:val="false"/>
      <w:textDirection w:val="lrTb"/>
      <w:docGrid w:type="default" w:linePitch="10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PTAstraSerif-Regular">
    <w:charset w:val="cc"/>
    <w:family w:val="roman"/>
    <w:pitch w:val="variable"/>
  </w:font>
  <w:font w:name="PTAstraSerif-Bold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19</w:t>
    </w:r>
    <w:r>
      <w:rPr/>
      <w:fldChar w:fldCharType="end"/>
    </w:r>
  </w:p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101" w:hanging="88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788"/>
        </w:tabs>
        <w:ind w:left="889" w:hanging="889"/>
      </w:pPr>
      <w:rPr>
        <w:sz w:val="26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6" w:hanging="88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88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93" w:hanging="88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42" w:hanging="88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0" w:hanging="88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39" w:hanging="88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87" w:hanging="88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048" w:hanging="360"/>
      </w:pPr>
      <w:rPr>
        <w:sz w:val="26"/>
        <w:b/>
        <w:szCs w:val="26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57" w:hanging="457"/>
      </w:pPr>
      <w:rPr>
        <w:sz w:val="26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620" w:hanging="45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40" w:hanging="45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32" w:hanging="45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4" w:hanging="45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16" w:hanging="45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08" w:hanging="45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0" w:hanging="45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numPr>
        <w:ilvl w:val="0"/>
        <w:numId w:val="0"/>
      </w:numPr>
      <w:ind w:left="326" w:right="0" w:hanging="0"/>
      <w:outlineLvl w:val="0"/>
    </w:pPr>
    <w:rPr>
      <w:b/>
      <w:bCs/>
      <w:sz w:val="26"/>
      <w:szCs w:val="26"/>
    </w:rPr>
  </w:style>
  <w:style w:type="character" w:styleId="DefaultParagraphFont">
    <w:name w:val="Default Paragraph Font"/>
    <w:qFormat/>
    <w:rPr/>
  </w:style>
  <w:style w:type="character" w:styleId="Style13">
    <w:name w:val="Верхний колонтитул Знак"/>
    <w:basedOn w:val="DefaultParagraphFont"/>
    <w:qFormat/>
    <w:rPr>
      <w:rFonts w:ascii="Times New Roman" w:hAnsi="Times New Roman" w:eastAsia="Times New Roman" w:cs="Times New Roman"/>
      <w:lang w:val="ru-RU"/>
    </w:rPr>
  </w:style>
  <w:style w:type="character" w:styleId="Style14">
    <w:name w:val="Нижний колонтитул Знак"/>
    <w:basedOn w:val="DefaultParagraphFont"/>
    <w:qFormat/>
    <w:rPr>
      <w:rFonts w:ascii="Times New Roman" w:hAnsi="Times New Roman" w:eastAsia="Times New Roman" w:cs="Times New Roman"/>
      <w:lang w:val="ru-RU"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7LVL1">
    <w:name w:val="WW_CharLFO7LVL1"/>
    <w:qFormat/>
    <w:rPr>
      <w:rFonts w:ascii="OpenSymbol" w:hAnsi="OpenSymbol" w:eastAsia="OpenSymbol" w:cs="OpenSymbol"/>
    </w:rPr>
  </w:style>
  <w:style w:type="character" w:styleId="WWCharLFO7LVL2">
    <w:name w:val="WW_CharLFO7LVL2"/>
    <w:qFormat/>
    <w:rPr>
      <w:rFonts w:ascii="OpenSymbol" w:hAnsi="OpenSymbol" w:eastAsia="OpenSymbol" w:cs="OpenSymbol"/>
    </w:rPr>
  </w:style>
  <w:style w:type="character" w:styleId="WWCharLFO7LVL3">
    <w:name w:val="WW_CharLFO7LVL3"/>
    <w:qFormat/>
    <w:rPr>
      <w:rFonts w:ascii="OpenSymbol" w:hAnsi="OpenSymbol" w:eastAsia="OpenSymbol" w:cs="OpenSymbol"/>
    </w:rPr>
  </w:style>
  <w:style w:type="character" w:styleId="WWCharLFO7LVL4">
    <w:name w:val="WW_CharLFO7LVL4"/>
    <w:qFormat/>
    <w:rPr>
      <w:rFonts w:ascii="OpenSymbol" w:hAnsi="OpenSymbol" w:eastAsia="OpenSymbol" w:cs="OpenSymbol"/>
    </w:rPr>
  </w:style>
  <w:style w:type="character" w:styleId="WWCharLFO7LVL5">
    <w:name w:val="WW_CharLFO7LVL5"/>
    <w:qFormat/>
    <w:rPr>
      <w:rFonts w:ascii="OpenSymbol" w:hAnsi="OpenSymbol" w:eastAsia="OpenSymbol" w:cs="OpenSymbol"/>
    </w:rPr>
  </w:style>
  <w:style w:type="character" w:styleId="WWCharLFO7LVL6">
    <w:name w:val="WW_CharLFO7LVL6"/>
    <w:qFormat/>
    <w:rPr>
      <w:rFonts w:ascii="OpenSymbol" w:hAnsi="OpenSymbol" w:eastAsia="OpenSymbol" w:cs="OpenSymbol"/>
    </w:rPr>
  </w:style>
  <w:style w:type="character" w:styleId="WWCharLFO7LVL7">
    <w:name w:val="WW_CharLFO7LVL7"/>
    <w:qFormat/>
    <w:rPr>
      <w:rFonts w:ascii="OpenSymbol" w:hAnsi="OpenSymbol" w:eastAsia="OpenSymbol" w:cs="OpenSymbol"/>
    </w:rPr>
  </w:style>
  <w:style w:type="character" w:styleId="WWCharLFO7LVL8">
    <w:name w:val="WW_CharLFO7LVL8"/>
    <w:qFormat/>
    <w:rPr>
      <w:rFonts w:ascii="OpenSymbol" w:hAnsi="OpenSymbol" w:eastAsia="OpenSymbol" w:cs="OpenSymbol"/>
    </w:rPr>
  </w:style>
  <w:style w:type="character" w:styleId="WWCharLFO7LVL9">
    <w:name w:val="WW_CharLFO7LVL9"/>
    <w:qFormat/>
    <w:rPr>
      <w:rFonts w:ascii="OpenSymbol" w:hAnsi="OpenSymbol" w:eastAsia="OpenSymbol" w:cs="OpenSymbol"/>
    </w:rPr>
  </w:style>
  <w:style w:type="character" w:styleId="Fontstyle01">
    <w:name w:val="fontstyle01"/>
    <w:basedOn w:val="DefaultParagraphFont"/>
    <w:qFormat/>
    <w:rPr>
      <w:rFonts w:ascii="PTAstraSerif-Regular" w:hAnsi="PTAstraSerif-Regular"/>
      <w:b w:val="false"/>
      <w:bCs w:val="false"/>
      <w:i w:val="false"/>
      <w:iCs w:val="false"/>
      <w:color w:val="000000"/>
      <w:sz w:val="26"/>
      <w:szCs w:val="26"/>
    </w:rPr>
  </w:style>
  <w:style w:type="character" w:styleId="Fontstyle21">
    <w:name w:val="fontstyle21"/>
    <w:basedOn w:val="DefaultParagraphFont"/>
    <w:qFormat/>
    <w:rPr>
      <w:rFonts w:ascii="PTAstraSerif-Bold" w:hAnsi="PTAstraSerif-Bold"/>
      <w:b/>
      <w:bCs/>
      <w:i w:val="false"/>
      <w:iCs w:val="false"/>
      <w:color w:val="000000"/>
      <w:sz w:val="26"/>
      <w:szCs w:val="26"/>
    </w:rPr>
  </w:style>
  <w:style w:type="character" w:styleId="Style15">
    <w:name w:val="Основной текст Знак"/>
    <w:basedOn w:val="DefaultParagraphFont"/>
    <w:qFormat/>
    <w:rPr>
      <w:rFonts w:ascii="Times New Roman" w:hAnsi="Times New Roman"/>
      <w:sz w:val="26"/>
      <w:szCs w:val="26"/>
      <w:lang w:eastAsia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1">
    <w:name w:val="WW8Num3z1"/>
    <w:qFormat/>
    <w:rPr>
      <w:rFonts w:ascii="Times New Roman" w:hAnsi="Times New Roman" w:eastAsia="Times New Roman" w:cs="Times New Roman"/>
      <w:b w:val="false"/>
      <w:bCs w:val="false"/>
      <w:w w:val="100"/>
      <w:sz w:val="24"/>
      <w:szCs w:val="24"/>
      <w:lang w:val="ru-RU" w:eastAsia="en-US" w:bidi="ar-SA"/>
    </w:rPr>
  </w:style>
  <w:style w:type="character" w:styleId="WW8Num3z0">
    <w:name w:val="WW8Num3z0"/>
    <w:qFormat/>
    <w:rPr>
      <w:rFonts w:ascii="Times New Roman" w:hAnsi="Times New Roman"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WW8Num2z1">
    <w:name w:val="WW8Num2z1"/>
    <w:qFormat/>
    <w:rPr>
      <w:rFonts w:ascii="Times New Roman" w:hAnsi="Times New Roman" w:eastAsia="Times New Roman" w:cs="Times New Roman"/>
      <w:w w:val="100"/>
      <w:sz w:val="24"/>
      <w:szCs w:val="24"/>
      <w:lang w:val="ru-RU" w:eastAsia="en-US" w:bidi="ar-SA"/>
    </w:rPr>
  </w:style>
  <w:style w:type="character" w:styleId="WW8Num2z0">
    <w:name w:val="WW8Num2z0"/>
    <w:qFormat/>
    <w:rPr>
      <w:lang w:val="ru-RU" w:eastAsia="en-US" w:bidi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ind w:left="101" w:right="125" w:hanging="0"/>
      <w:jc w:val="both"/>
    </w:pPr>
    <w:rPr>
      <w:sz w:val="26"/>
      <w:szCs w:val="26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101" w:right="125" w:hanging="0"/>
      <w:jc w:val="both"/>
    </w:pPr>
    <w:rPr/>
  </w:style>
  <w:style w:type="paragraph" w:styleId="TableParagraph">
    <w:name w:val="Table Paragraph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/>
    <w:rPr>
      <w:sz w:val="24"/>
      <w:szCs w:val="24"/>
    </w:rPr>
  </w:style>
  <w:style w:type="paragraph" w:styleId="BodyTextIndent2">
    <w:name w:val="Body Text Indent 2"/>
    <w:basedOn w:val="Normal"/>
    <w:qFormat/>
    <w:pPr>
      <w:spacing w:lineRule="exact" w:line="480" w:before="0" w:after="120"/>
      <w:ind w:left="283" w:right="0" w:hanging="0"/>
    </w:pPr>
    <w:rPr/>
  </w:style>
  <w:style w:type="paragraph" w:styleId="Style26">
    <w:name w:val="Subtitle"/>
    <w:basedOn w:val="Normal"/>
    <w:next w:val="Normal"/>
    <w:qFormat/>
    <w:pPr/>
    <w:rPr>
      <w:rFonts w:ascii="Cambria" w:hAnsi="Cambria" w:eastAsia="F" w:cs="F"/>
      <w:i/>
      <w:iCs/>
      <w:color w:val="4F81BD"/>
      <w:spacing w:val="15"/>
    </w:rPr>
  </w:style>
  <w:style w:type="paragraph" w:styleId="11">
    <w:name w:val="Обычная таблица1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en-US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ourier New" w:hAnsi="Courier New" w:eastAsia="0" w:cs="Courier New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0" w:cs="Arial"/>
      <w:color w:val="auto"/>
      <w:kern w:val="0"/>
      <w:sz w:val="20"/>
      <w:szCs w:val="20"/>
      <w:lang w:val="ru-RU" w:eastAsia="ru-RU" w:bidi="ar-SA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22875&amp;date=17.04.2023" TargetMode="External"/><Relationship Id="rId3" Type="http://schemas.openxmlformats.org/officeDocument/2006/relationships/hyperlink" Target="mailto:tcso.aleksin@tularegion.ru" TargetMode="External"/><Relationship Id="rId4" Type="http://schemas.openxmlformats.org/officeDocument/2006/relationships/hyperlink" Target="mailto:tcso.aleksin@tularegion.ru" TargetMode="External"/><Relationship Id="rId5" Type="http://schemas.openxmlformats.org/officeDocument/2006/relationships/hyperlink" Target="mailto:tcso.aleksin@tularegion.ru" TargetMode="External"/><Relationship Id="rId6" Type="http://schemas.openxmlformats.org/officeDocument/2006/relationships/hyperlink" Target="mailto:tcso.aleksin@tularegion.ru" TargetMode="External"/><Relationship Id="rId7" Type="http://schemas.openxmlformats.org/officeDocument/2006/relationships/hyperlink" Target="mailto:tcso.aleksin@tularegion.ru" TargetMode="External"/><Relationship Id="rId8" Type="http://schemas.openxmlformats.org/officeDocument/2006/relationships/hyperlink" Target="mailto:tcso.aleksin@tularegion.ru" TargetMode="External"/><Relationship Id="rId9" Type="http://schemas.openxmlformats.org/officeDocument/2006/relationships/hyperlink" Target="mailto:tcso.aleksin@tularegion.ru" TargetMode="External"/><Relationship Id="rId10" Type="http://schemas.openxmlformats.org/officeDocument/2006/relationships/hyperlink" Target="https://login.consultant.ru/link/?req=doc&amp;base=LAW&amp;n=9299&amp;date=17.04.2023&amp;dst=100008&amp;field=134" TargetMode="External"/><Relationship Id="rId11" Type="http://schemas.openxmlformats.org/officeDocument/2006/relationships/hyperlink" Target="https://login.consultant.ru/link/?req=doc&amp;base=LAW&amp;n=208761&amp;date=17.04.2023" TargetMode="External"/><Relationship Id="rId12" Type="http://schemas.openxmlformats.org/officeDocument/2006/relationships/hyperlink" Target="https://login.consultant.ru/link/?req=doc&amp;base=LAW&amp;n=438456&amp;date=17.04.2023" TargetMode="External"/><Relationship Id="rId13" Type="http://schemas.openxmlformats.org/officeDocument/2006/relationships/hyperlink" Target="https://login.consultant.ru/link/?req=doc&amp;base=LAW&amp;n=208761&amp;date=17.04.2023" TargetMode="Externa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Application>LibreOffice/7.3.2.2$Windows_X86_64 LibreOffice_project/49f2b1bff42cfccbd8f788c8dc32c1c309559be0</Application>
  <AppVersion>15.0000</AppVersion>
  <Pages>19</Pages>
  <Words>4061</Words>
  <Characters>29858</Characters>
  <CharactersWithSpaces>37097</CharactersWithSpaces>
  <Paragraphs>507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EddVP</dc:creator>
  <dc:description/>
  <dc:language>ru-RU</dc:language>
  <cp:lastModifiedBy/>
  <cp:lastPrinted>2024-02-21T15:54:16Z</cp:lastPrinted>
  <dcterms:modified xsi:type="dcterms:W3CDTF">2024-02-21T15:55:45Z</dcterms:modified>
  <cp:revision>31</cp:revision>
  <dc:subject/>
  <dc:title>Microsoft Word - polojps2022.docx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2023-04-10T00:00:00Z</vt:filetime>
  </property>
</Properties>
</file>